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C18" w:rsidRDefault="009A5C18" w:rsidP="009A5C18">
      <w:pPr>
        <w:pStyle w:val="Title"/>
        <w:ind w:right="-567"/>
        <w:rPr>
          <w:sz w:val="40"/>
        </w:rPr>
      </w:pPr>
      <w:r>
        <w:rPr>
          <w:sz w:val="40"/>
          <w:lang w:val="az-Latn-AZ"/>
        </w:rPr>
        <w:t>Layihələrin İdarə Edilməsi Azərbaycan Assosisasiyası</w:t>
      </w:r>
      <w:r>
        <w:rPr>
          <w:sz w:val="40"/>
        </w:rPr>
        <w:t xml:space="preserve"> </w:t>
      </w:r>
    </w:p>
    <w:p w:rsidR="009A5C18" w:rsidRPr="00BD2CC3" w:rsidRDefault="009A5C18" w:rsidP="009A5C18">
      <w:pPr>
        <w:pStyle w:val="Title"/>
        <w:ind w:right="-567"/>
        <w:rPr>
          <w:sz w:val="40"/>
          <w:lang w:val="az-Latn-AZ"/>
        </w:rPr>
      </w:pPr>
      <w:r>
        <w:rPr>
          <w:sz w:val="40"/>
          <w:lang w:val="az-Latn-AZ"/>
        </w:rPr>
        <w:t>“AzPMA”</w:t>
      </w:r>
    </w:p>
    <w:p w:rsidR="009A5C18" w:rsidRPr="009A5C18" w:rsidRDefault="009A5C18" w:rsidP="009A5C18">
      <w:pPr>
        <w:pStyle w:val="Title"/>
        <w:ind w:right="-567"/>
        <w:rPr>
          <w:sz w:val="40"/>
          <w:lang w:val="az-Latn-AZ"/>
        </w:rPr>
      </w:pPr>
      <w:r w:rsidRPr="009A5C18">
        <w:rPr>
          <w:sz w:val="40"/>
          <w:lang w:val="az-Latn-AZ"/>
        </w:rPr>
        <w:t>IPMA</w:t>
      </w:r>
      <w:r>
        <w:rPr>
          <w:sz w:val="40"/>
          <w:lang w:val="az-Latn-AZ"/>
        </w:rPr>
        <w:t xml:space="preserve"> Sertifikatlaşdırma Sistemi</w:t>
      </w:r>
    </w:p>
    <w:p w:rsidR="009A5C18" w:rsidRPr="009A2229" w:rsidRDefault="009A5C18" w:rsidP="00B25AD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az-Latn-AZ"/>
        </w:rPr>
      </w:pPr>
    </w:p>
    <w:p w:rsidR="009A5C18" w:rsidRPr="009A2229" w:rsidRDefault="009A5C18" w:rsidP="00B25AD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az-Latn-AZ"/>
        </w:rPr>
      </w:pPr>
    </w:p>
    <w:p w:rsidR="00B25AD2" w:rsidRPr="009A2229" w:rsidRDefault="00B25AD2" w:rsidP="009A5C1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az-Latn-AZ"/>
        </w:rPr>
      </w:pPr>
      <w:r w:rsidRPr="009A222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az-Latn-AZ"/>
        </w:rPr>
        <w:t>ŞİKAYƏT VƏ APELLYASİYALARIN İDARƏ EDİLMƏSİ PROSEDURU</w:t>
      </w:r>
    </w:p>
    <w:p w:rsidR="009A5C18" w:rsidRDefault="009A5C18" w:rsidP="009A5C18">
      <w:pPr>
        <w:jc w:val="center"/>
      </w:pPr>
      <w:r>
        <w:rPr>
          <w:b/>
          <w:sz w:val="28"/>
        </w:rPr>
        <w:t>(</w:t>
      </w:r>
      <w:r>
        <w:rPr>
          <w:b/>
          <w:sz w:val="28"/>
          <w:lang w:val="az-Latn-AZ"/>
        </w:rPr>
        <w:t>versiya</w:t>
      </w:r>
      <w:r>
        <w:rPr>
          <w:b/>
          <w:sz w:val="28"/>
        </w:rPr>
        <w:t xml:space="preserve"> 1, </w:t>
      </w:r>
      <w:r w:rsidRPr="0006757D">
        <w:rPr>
          <w:b/>
          <w:sz w:val="28"/>
        </w:rPr>
        <w:t>0</w:t>
      </w:r>
      <w:r>
        <w:rPr>
          <w:b/>
          <w:sz w:val="28"/>
        </w:rPr>
        <w:t>4</w:t>
      </w:r>
      <w:r w:rsidRPr="0006757D">
        <w:rPr>
          <w:b/>
          <w:sz w:val="28"/>
        </w:rPr>
        <w:t>/</w:t>
      </w:r>
      <w:r>
        <w:rPr>
          <w:b/>
          <w:sz w:val="28"/>
        </w:rPr>
        <w:t>2024)</w:t>
      </w:r>
    </w:p>
    <w:tbl>
      <w:tblPr>
        <w:tblW w:w="9606" w:type="dxa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2889"/>
        <w:gridCol w:w="2428"/>
        <w:gridCol w:w="2467"/>
        <w:gridCol w:w="1822"/>
      </w:tblGrid>
      <w:tr w:rsidR="009A5C18" w:rsidTr="0077445A">
        <w:tc>
          <w:tcPr>
            <w:tcW w:w="2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9A5C18" w:rsidRDefault="009A5C18" w:rsidP="0077445A">
            <w:pPr>
              <w:pStyle w:val="TOC1"/>
              <w:jc w:val="left"/>
            </w:pPr>
          </w:p>
        </w:tc>
        <w:tc>
          <w:tcPr>
            <w:tcW w:w="2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9A5C18" w:rsidRPr="006B6F03" w:rsidRDefault="009A5C18" w:rsidP="0077445A">
            <w:pPr>
              <w:pStyle w:val="TOC1"/>
              <w:jc w:val="left"/>
              <w:rPr>
                <w:lang w:val="az-Latn-AZ"/>
              </w:rPr>
            </w:pPr>
            <w:r>
              <w:rPr>
                <w:lang w:val="az-Latn-AZ"/>
              </w:rPr>
              <w:t>Hazırlanıb</w:t>
            </w:r>
          </w:p>
        </w:tc>
        <w:tc>
          <w:tcPr>
            <w:tcW w:w="2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9A5C18" w:rsidRPr="006B6F03" w:rsidRDefault="009A5C18" w:rsidP="0077445A">
            <w:pPr>
              <w:pStyle w:val="TOC1"/>
              <w:jc w:val="left"/>
              <w:rPr>
                <w:lang w:val="az-Latn-AZ"/>
              </w:rPr>
            </w:pPr>
            <w:r>
              <w:rPr>
                <w:lang w:val="az-Latn-AZ"/>
              </w:rPr>
              <w:t>Təsdiq edilir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9A5C18" w:rsidRPr="006B6F03" w:rsidRDefault="009A5C18" w:rsidP="0077445A">
            <w:pPr>
              <w:pStyle w:val="TOC1"/>
              <w:jc w:val="left"/>
              <w:rPr>
                <w:lang w:val="az-Latn-AZ"/>
              </w:rPr>
            </w:pPr>
            <w:r>
              <w:rPr>
                <w:lang w:val="az-Latn-AZ"/>
              </w:rPr>
              <w:t>Tarix</w:t>
            </w:r>
          </w:p>
        </w:tc>
      </w:tr>
      <w:tr w:rsidR="009A5C18" w:rsidTr="0077445A">
        <w:tc>
          <w:tcPr>
            <w:tcW w:w="2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9A5C18" w:rsidRPr="006B6F03" w:rsidRDefault="009A5C18" w:rsidP="0077445A">
            <w:pPr>
              <w:pStyle w:val="TOC1"/>
              <w:jc w:val="left"/>
              <w:rPr>
                <w:lang w:val="az-Latn-AZ"/>
              </w:rPr>
            </w:pPr>
            <w:r>
              <w:rPr>
                <w:lang w:val="az-Latn-AZ"/>
              </w:rPr>
              <w:t xml:space="preserve">Vəzifə </w:t>
            </w:r>
          </w:p>
          <w:p w:rsidR="009A5C18" w:rsidRDefault="009A5C18" w:rsidP="0077445A">
            <w:pPr>
              <w:rPr>
                <w:sz w:val="24"/>
              </w:rPr>
            </w:pPr>
          </w:p>
        </w:tc>
        <w:tc>
          <w:tcPr>
            <w:tcW w:w="2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655F1" w:rsidRPr="006B6F03" w:rsidRDefault="004655F1" w:rsidP="004655F1">
            <w:pPr>
              <w:pStyle w:val="TOC1"/>
              <w:jc w:val="left"/>
              <w:rPr>
                <w:lang w:val="az-Latn-AZ"/>
              </w:rPr>
            </w:pPr>
            <w:r>
              <w:rPr>
                <w:lang w:val="az-Latn-AZ"/>
              </w:rPr>
              <w:t>Axundova F.</w:t>
            </w:r>
          </w:p>
          <w:p w:rsidR="009A5C18" w:rsidRPr="006B6F03" w:rsidRDefault="004655F1" w:rsidP="004655F1">
            <w:pPr>
              <w:rPr>
                <w:lang w:val="az-Latn-AZ"/>
              </w:rPr>
            </w:pPr>
            <w:r>
              <w:rPr>
                <w:lang w:val="az-Latn-AZ"/>
              </w:rPr>
              <w:t>Sertifikatlaşdırma orqanın rəhbəri</w:t>
            </w:r>
          </w:p>
        </w:tc>
        <w:tc>
          <w:tcPr>
            <w:tcW w:w="2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9A5C18" w:rsidRDefault="004655F1" w:rsidP="004655F1">
            <w:pPr>
              <w:pStyle w:val="TOC1"/>
              <w:jc w:val="left"/>
              <w:rPr>
                <w:lang w:val="az-Latn-AZ"/>
              </w:rPr>
            </w:pPr>
            <w:r>
              <w:rPr>
                <w:lang w:val="az-Latn-AZ"/>
              </w:rPr>
              <w:t>Babayev I.</w:t>
            </w:r>
          </w:p>
          <w:p w:rsidR="004655F1" w:rsidRPr="006B6F03" w:rsidRDefault="004655F1" w:rsidP="0077445A">
            <w:pPr>
              <w:rPr>
                <w:lang w:val="az-Latn-AZ"/>
              </w:rPr>
            </w:pPr>
            <w:r>
              <w:rPr>
                <w:lang w:val="az-Latn-AZ"/>
              </w:rPr>
              <w:t>AzPMA rəhbəri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9A5C18" w:rsidRPr="006B6F03" w:rsidRDefault="009A5C18" w:rsidP="0077445A">
            <w:pPr>
              <w:pStyle w:val="TOC1"/>
              <w:jc w:val="left"/>
              <w:rPr>
                <w:lang w:val="az-Latn-AZ"/>
              </w:rPr>
            </w:pPr>
            <w:r>
              <w:t>04/20</w:t>
            </w:r>
            <w:r>
              <w:rPr>
                <w:lang w:val="az-Latn-AZ"/>
              </w:rPr>
              <w:t>24</w:t>
            </w:r>
          </w:p>
        </w:tc>
      </w:tr>
      <w:tr w:rsidR="009A5C18" w:rsidTr="00574E61">
        <w:tc>
          <w:tcPr>
            <w:tcW w:w="2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9A5C18" w:rsidRPr="006B6F03" w:rsidRDefault="009A5C18" w:rsidP="0077445A">
            <w:pPr>
              <w:pStyle w:val="TOC1"/>
              <w:jc w:val="left"/>
              <w:rPr>
                <w:lang w:val="az-Latn-AZ"/>
              </w:rPr>
            </w:pPr>
            <w:r w:rsidRPr="00B25AD2">
              <w:rPr>
                <w:sz w:val="24"/>
              </w:rPr>
              <w:t>Məxfilik dərəcəsi:</w:t>
            </w:r>
          </w:p>
        </w:tc>
        <w:tc>
          <w:tcPr>
            <w:tcW w:w="671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9A5C18" w:rsidRDefault="009A5C18" w:rsidP="009A5C1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AD2">
              <w:rPr>
                <w:rFonts w:ascii="Times New Roman" w:eastAsia="Times New Roman" w:hAnsi="Times New Roman" w:cs="Times New Roman"/>
                <w:sz w:val="24"/>
                <w:szCs w:val="24"/>
              </w:rPr>
              <w:t>Daxili istifadə üçün</w:t>
            </w:r>
          </w:p>
          <w:p w:rsidR="009A5C18" w:rsidRPr="009A5C18" w:rsidRDefault="009A5C18" w:rsidP="009A5C1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18" w:rsidTr="0077445A">
        <w:tc>
          <w:tcPr>
            <w:tcW w:w="2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9A5C18" w:rsidRPr="006B6F03" w:rsidRDefault="009A5C18" w:rsidP="0077445A">
            <w:pPr>
              <w:pStyle w:val="TOC1"/>
              <w:jc w:val="left"/>
              <w:rPr>
                <w:lang w:val="az-Latn-AZ"/>
              </w:rPr>
            </w:pPr>
            <w:r>
              <w:rPr>
                <w:lang w:val="az-Latn-AZ"/>
              </w:rPr>
              <w:t>Kod</w:t>
            </w:r>
            <w:r>
              <w:t>/</w:t>
            </w:r>
            <w:r>
              <w:rPr>
                <w:lang w:val="az-Latn-AZ"/>
              </w:rPr>
              <w:t>Ad</w:t>
            </w:r>
            <w:r>
              <w:t>/</w:t>
            </w:r>
            <w:r>
              <w:rPr>
                <w:lang w:val="az-Latn-AZ"/>
              </w:rPr>
              <w:t>Tarix</w:t>
            </w:r>
          </w:p>
          <w:p w:rsidR="009A5C18" w:rsidRDefault="009A5C18" w:rsidP="0077445A">
            <w:r>
              <w:t xml:space="preserve">PRO01/04.2024         </w:t>
            </w:r>
          </w:p>
        </w:tc>
        <w:tc>
          <w:tcPr>
            <w:tcW w:w="48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9A5C18" w:rsidRPr="006B6F03" w:rsidRDefault="009A5C18" w:rsidP="0077445A">
            <w:pPr>
              <w:pStyle w:val="TOC1"/>
              <w:jc w:val="left"/>
              <w:rPr>
                <w:lang w:val="az-Latn-AZ"/>
              </w:rPr>
            </w:pPr>
            <w:r>
              <w:rPr>
                <w:lang w:val="az-Latn-AZ"/>
              </w:rPr>
              <w:t>Şikayət və apellyasiyaların idarə edilməsi proseduru</w:t>
            </w:r>
          </w:p>
        </w:tc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9A5C18" w:rsidRPr="006B6F03" w:rsidRDefault="00855E32" w:rsidP="0077445A">
            <w:pPr>
              <w:pStyle w:val="TOC1"/>
              <w:jc w:val="left"/>
              <w:rPr>
                <w:lang w:val="az-Latn-AZ"/>
              </w:rPr>
            </w:pPr>
            <w:r>
              <w:rPr>
                <w:lang w:val="az-Latn-AZ"/>
              </w:rPr>
              <w:t>Səh.11</w:t>
            </w:r>
          </w:p>
        </w:tc>
      </w:tr>
    </w:tbl>
    <w:p w:rsidR="009A5C18" w:rsidRDefault="009A5C18" w:rsidP="00B25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5C18" w:rsidRDefault="009A5C18" w:rsidP="00B25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5C18" w:rsidRDefault="009A5C18" w:rsidP="00B25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5C18" w:rsidRDefault="009A5C18" w:rsidP="00B25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5C18" w:rsidRDefault="009A5C18" w:rsidP="00B25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5AD2" w:rsidRPr="009A5C18" w:rsidRDefault="009A5C18" w:rsidP="009A5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5C18">
        <w:rPr>
          <w:rFonts w:ascii="Times New Roman" w:eastAsia="Times New Roman" w:hAnsi="Times New Roman" w:cs="Times New Roman"/>
          <w:b/>
          <w:sz w:val="24"/>
          <w:szCs w:val="24"/>
        </w:rPr>
        <w:t>Bakı 2024</w:t>
      </w:r>
    </w:p>
    <w:p w:rsidR="009A5C18" w:rsidRDefault="009A5C18" w:rsidP="00B25AD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25A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Dəyişikliklərin qeydiyyatı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25A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1. Məqsəd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Bu prosedurun məqsədi AzPMA Sertifikatlaşdırma Orqanına daxil olan bütün şikayət və apellyasiyaların ədalətli, qərəzsiz, vaxtında və şəffaf qaydada qəbul edilməsini, araşdırılmasını, qiymətləndirilməsini və nəticələndirilməsini təmin etməkdir.</w:t>
      </w:r>
    </w:p>
    <w:p w:rsidR="00B25AD2" w:rsidRPr="00B25AD2" w:rsidRDefault="00B25AD2" w:rsidP="009A5C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Prosedur sertifikatlaşdırma prosesinin etibarlılığını, namizədlərin hüquqlarının qorunmasını və IPMA sertifikatlaşdırma sisteminə olan etimadın saxlanılmasını dəstəkləyir.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25A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2. Tətbiq sahəsi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Bu prosedur aşağıdakı hallara şamil edilir:</w:t>
      </w:r>
    </w:p>
    <w:p w:rsidR="00B25AD2" w:rsidRPr="00B25AD2" w:rsidRDefault="00B25AD2" w:rsidP="00B25A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sertifikatlaşdırma prosesi üzrə şikayətlər;</w:t>
      </w:r>
    </w:p>
    <w:p w:rsidR="00B25AD2" w:rsidRPr="00B25AD2" w:rsidRDefault="00B25AD2" w:rsidP="00B25A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imtahanların keçirilməsi ilə bağlı şikayətlər;</w:t>
      </w:r>
    </w:p>
    <w:p w:rsidR="00B25AD2" w:rsidRPr="00B25AD2" w:rsidRDefault="00B25AD2" w:rsidP="00B25A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assessorların fəaliyyəti ilə bağlı müraciətlər;</w:t>
      </w:r>
    </w:p>
    <w:p w:rsidR="00B25AD2" w:rsidRPr="00B25AD2" w:rsidRDefault="00B25AD2" w:rsidP="00B25A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qiymətləndirmə nəticələri üzrə narazılıqlar;</w:t>
      </w:r>
    </w:p>
    <w:p w:rsidR="00B25AD2" w:rsidRPr="00B25AD2" w:rsidRDefault="00B25AD2" w:rsidP="00B25A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etik davranış qaydalarının pozulması barədə məlumatlar;</w:t>
      </w:r>
    </w:p>
    <w:p w:rsidR="00B25AD2" w:rsidRPr="00B25AD2" w:rsidRDefault="00B25AD2" w:rsidP="00B25A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maraqlar toqquşması ilə bağlı müraciətlər;</w:t>
      </w:r>
    </w:p>
    <w:p w:rsidR="00B25AD2" w:rsidRPr="00B25AD2" w:rsidRDefault="00B25AD2" w:rsidP="00B25A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sertifikatlaşdırma qərarlarına qarşı apellyasiyalar.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Bu prosedur AzPMA Sertifikatlaşdırma Orqanının bütün əməkdaşlarına, assessorlarına, ekspertlərinə, qərar qəbul edən şəxslərinə və sertifikatlaşdırma prosesində iştirak edən digər tərəflərə şamil olunur.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25A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3. Normativ istinadlar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Bu prosedur aşağıdakı sənədlərin tələbləri nəzərə alınmaqla hazırlanmışdır:</w:t>
      </w:r>
    </w:p>
    <w:p w:rsidR="00B25AD2" w:rsidRPr="00B25AD2" w:rsidRDefault="00B25AD2" w:rsidP="00B25A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IPMA Individual Competence Baseline (ICB)</w:t>
      </w:r>
    </w:p>
    <w:p w:rsidR="00B25AD2" w:rsidRPr="00B25AD2" w:rsidRDefault="00B25AD2" w:rsidP="00B25A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IPMA Individual Certification Regulations (ICR)</w:t>
      </w:r>
    </w:p>
    <w:p w:rsidR="00B25AD2" w:rsidRPr="00B25AD2" w:rsidRDefault="00B25AD2" w:rsidP="00B25A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IPMA Validation Regulations (IVRH)</w:t>
      </w:r>
    </w:p>
    <w:p w:rsidR="00B25AD2" w:rsidRPr="00B25AD2" w:rsidRDefault="00B25AD2" w:rsidP="00B25A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ISO/IEC 17024 – Şəxslərin sertifikatlaşdırılmasını həyata keçirən orqanlara dair tələblər</w:t>
      </w:r>
    </w:p>
    <w:p w:rsidR="00B25AD2" w:rsidRPr="00B25AD2" w:rsidRDefault="00B25AD2" w:rsidP="00B25A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AzPMA Sertifikatlaşdırma Qaydaları</w:t>
      </w:r>
    </w:p>
    <w:p w:rsidR="00B25AD2" w:rsidRPr="00B25AD2" w:rsidRDefault="00B25AD2" w:rsidP="00B25A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AzPMA Etika Kodeksi</w:t>
      </w:r>
    </w:p>
    <w:p w:rsidR="00B25AD2" w:rsidRPr="00B25AD2" w:rsidRDefault="00B25AD2" w:rsidP="00B25A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AzPMA Qərəzsizlik Siyasəti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25A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4. Termin və təriflər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25AD2">
        <w:rPr>
          <w:rFonts w:ascii="Times New Roman" w:eastAsia="Times New Roman" w:hAnsi="Times New Roman" w:cs="Times New Roman"/>
          <w:b/>
          <w:bCs/>
          <w:sz w:val="27"/>
          <w:szCs w:val="27"/>
        </w:rPr>
        <w:t>Şikayət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AzPMA-nın fəaliyyəti, əməkdaşları, assessorları və ya sertifikatlaşdırma prosesi ilə bağlı narazılığı ifadə edən rəsmi müraciət.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25AD2">
        <w:rPr>
          <w:rFonts w:ascii="Times New Roman" w:eastAsia="Times New Roman" w:hAnsi="Times New Roman" w:cs="Times New Roman"/>
          <w:b/>
          <w:bCs/>
          <w:sz w:val="27"/>
          <w:szCs w:val="27"/>
        </w:rPr>
        <w:t>Apellyasiya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Namizədin sertifikatlaşdırma üzrə qəbul edilmiş qərarın yenidən nəzərdən keçirilməsi barədə rəsmi müraciəti.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25AD2">
        <w:rPr>
          <w:rFonts w:ascii="Times New Roman" w:eastAsia="Times New Roman" w:hAnsi="Times New Roman" w:cs="Times New Roman"/>
          <w:b/>
          <w:bCs/>
          <w:sz w:val="27"/>
          <w:szCs w:val="27"/>
        </w:rPr>
        <w:t>Maraqlar toqquşması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Şəxsi maraqların sertifikatlaşdırma qərarının obyektivliyinə təsir göstərə və ya belə təəssürat yarada biləcəyi vəziyyət.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25AD2">
        <w:rPr>
          <w:rFonts w:ascii="Times New Roman" w:eastAsia="Times New Roman" w:hAnsi="Times New Roman" w:cs="Times New Roman"/>
          <w:b/>
          <w:bCs/>
          <w:sz w:val="27"/>
          <w:szCs w:val="27"/>
        </w:rPr>
        <w:t>Qərəzsizlik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Sertifikatlaşdırma fəaliyyətinin hər hansı təzyiq, üstünlük və ya maraqdan asılı olmayaraq obyektiv həyata keçirilməsi.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25A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5. Əsas prinsiplər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AzPMA bütün şikayət və apellyasiyalara baxarkən aşağıdakı prinsiplərə riayət edir:</w:t>
      </w:r>
    </w:p>
    <w:p w:rsidR="00B25AD2" w:rsidRPr="00B25AD2" w:rsidRDefault="00B25AD2" w:rsidP="00B25A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qərəzsizlik;</w:t>
      </w:r>
    </w:p>
    <w:p w:rsidR="00B25AD2" w:rsidRPr="00B25AD2" w:rsidRDefault="00B25AD2" w:rsidP="00B25A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müstəqillik;</w:t>
      </w:r>
    </w:p>
    <w:p w:rsidR="00B25AD2" w:rsidRPr="00B25AD2" w:rsidRDefault="00B25AD2" w:rsidP="00B25A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məxfilik;</w:t>
      </w:r>
    </w:p>
    <w:p w:rsidR="00B25AD2" w:rsidRPr="00B25AD2" w:rsidRDefault="00B25AD2" w:rsidP="00B25A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obyektivlik;</w:t>
      </w:r>
    </w:p>
    <w:p w:rsidR="00B25AD2" w:rsidRPr="00B25AD2" w:rsidRDefault="00B25AD2" w:rsidP="00B25A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şəffaflıq;</w:t>
      </w:r>
    </w:p>
    <w:p w:rsidR="00B25AD2" w:rsidRPr="00B25AD2" w:rsidRDefault="00B25AD2" w:rsidP="00B25A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bərabər münasibət;</w:t>
      </w:r>
    </w:p>
    <w:p w:rsidR="00B25AD2" w:rsidRPr="00B25AD2" w:rsidRDefault="00B25AD2" w:rsidP="00B25A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sübutlara əsaslanan qərarların qəbulu;</w:t>
      </w:r>
    </w:p>
    <w:p w:rsidR="00B25AD2" w:rsidRPr="00B25AD2" w:rsidRDefault="00B25AD2" w:rsidP="00B25A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maraqlar toqquşmasının istisna edilməsi.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Şikayətə baxılmasında iştirak edən şəxs həmin prosesdə əvvəl iştirak etmiş və ya qərarın qəbulunda rol almışdırsa, araşdırmada iştirak edə bilməz.</w:t>
      </w:r>
    </w:p>
    <w:p w:rsidR="00B25AD2" w:rsidRPr="00B25AD2" w:rsidRDefault="00B25AD2" w:rsidP="00B25A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AD2">
        <w:rPr>
          <w:rFonts w:ascii="Times New Roman" w:eastAsia="Times New Roman" w:hAnsi="Times New Roman" w:cs="Times New Roman"/>
          <w:sz w:val="24"/>
          <w:szCs w:val="24"/>
        </w:rPr>
        <w:t>Bütün məlumatlar yalnız araşdırmanın aparılması məqsədilə istifadə olunur və üçüncü tərəflərə yalnız qanunvericiliyin və ya IPMA tələblərinin tələb etdiyi hallarda təqdim edilir.</w:t>
      </w:r>
    </w:p>
    <w:p w:rsidR="00B25AD2" w:rsidRDefault="00B25AD2" w:rsidP="00B25AD2">
      <w:pPr>
        <w:pStyle w:val="Heading1"/>
        <w:jc w:val="both"/>
      </w:pPr>
      <w:r>
        <w:t>6. Məsuliyyətlər</w:t>
      </w:r>
    </w:p>
    <w:p w:rsidR="00B25AD2" w:rsidRDefault="00B25AD2" w:rsidP="00B25AD2">
      <w:pPr>
        <w:pStyle w:val="Heading3"/>
        <w:jc w:val="both"/>
      </w:pPr>
      <w:r>
        <w:t>6.1. Sertifikatlaşdırma Meneceri</w:t>
      </w:r>
    </w:p>
    <w:p w:rsidR="00B25AD2" w:rsidRDefault="00B25AD2" w:rsidP="00B25AD2">
      <w:pPr>
        <w:pStyle w:val="NormalWeb"/>
        <w:jc w:val="both"/>
      </w:pPr>
      <w:r>
        <w:t>Sertifikatlaşdırma Meneceri aşağıdakı vəzifələri yerinə yetirir:</w:t>
      </w:r>
    </w:p>
    <w:p w:rsidR="00B25AD2" w:rsidRDefault="00B25AD2" w:rsidP="00B25AD2">
      <w:pPr>
        <w:pStyle w:val="NormalWeb"/>
        <w:numPr>
          <w:ilvl w:val="0"/>
          <w:numId w:val="4"/>
        </w:numPr>
        <w:jc w:val="both"/>
      </w:pPr>
      <w:r>
        <w:t>şikayət və apellyasiyaların qəbulunun təmin edilməsi;</w:t>
      </w:r>
    </w:p>
    <w:p w:rsidR="00B25AD2" w:rsidRDefault="00B25AD2" w:rsidP="00B25AD2">
      <w:pPr>
        <w:pStyle w:val="NormalWeb"/>
        <w:numPr>
          <w:ilvl w:val="0"/>
          <w:numId w:val="4"/>
        </w:numPr>
        <w:jc w:val="both"/>
      </w:pPr>
      <w:r>
        <w:t>daxil olan müraciətlərin qeydiyyata alınmasına nəzarət;</w:t>
      </w:r>
    </w:p>
    <w:p w:rsidR="00B25AD2" w:rsidRDefault="00B25AD2" w:rsidP="00B25AD2">
      <w:pPr>
        <w:pStyle w:val="NormalWeb"/>
        <w:numPr>
          <w:ilvl w:val="0"/>
          <w:numId w:val="4"/>
        </w:numPr>
        <w:jc w:val="both"/>
      </w:pPr>
      <w:r>
        <w:t>araşdırma qrupunun formalaşdırılması;</w:t>
      </w:r>
    </w:p>
    <w:p w:rsidR="00B25AD2" w:rsidRDefault="00B25AD2" w:rsidP="00B25AD2">
      <w:pPr>
        <w:pStyle w:val="NormalWeb"/>
        <w:numPr>
          <w:ilvl w:val="0"/>
          <w:numId w:val="4"/>
        </w:numPr>
        <w:jc w:val="both"/>
      </w:pPr>
      <w:r>
        <w:t>maraqlar toqquşmasının qiymətləndirilməsi;</w:t>
      </w:r>
    </w:p>
    <w:p w:rsidR="00B25AD2" w:rsidRDefault="00B25AD2" w:rsidP="00B25AD2">
      <w:pPr>
        <w:pStyle w:val="NormalWeb"/>
        <w:numPr>
          <w:ilvl w:val="0"/>
          <w:numId w:val="4"/>
        </w:numPr>
        <w:jc w:val="both"/>
      </w:pPr>
      <w:r>
        <w:t>araşdırmanın vaxtında başa çatdırılmasına nəzarət;</w:t>
      </w:r>
    </w:p>
    <w:p w:rsidR="00B25AD2" w:rsidRDefault="00B25AD2" w:rsidP="00B25AD2">
      <w:pPr>
        <w:pStyle w:val="NormalWeb"/>
        <w:numPr>
          <w:ilvl w:val="0"/>
          <w:numId w:val="4"/>
        </w:numPr>
        <w:jc w:val="both"/>
      </w:pPr>
      <w:r>
        <w:t>yekun qərarın namizədə və ya müraciət edən şəxsə göndərilməsinin təmin edilməsi;</w:t>
      </w:r>
    </w:p>
    <w:p w:rsidR="00B25AD2" w:rsidRDefault="00B25AD2" w:rsidP="00B25AD2">
      <w:pPr>
        <w:pStyle w:val="NormalWeb"/>
        <w:numPr>
          <w:ilvl w:val="0"/>
          <w:numId w:val="4"/>
        </w:numPr>
        <w:jc w:val="both"/>
      </w:pPr>
      <w:r>
        <w:t>bütün qeydlərin saxlanılmasına nəzarət.</w:t>
      </w:r>
    </w:p>
    <w:p w:rsidR="00B25AD2" w:rsidRDefault="00B25AD2" w:rsidP="00B25AD2">
      <w:pPr>
        <w:pStyle w:val="Heading3"/>
        <w:jc w:val="both"/>
      </w:pPr>
      <w:r>
        <w:t>6.2. Keyfiyyət üzrə məsul şəxs</w:t>
      </w:r>
    </w:p>
    <w:p w:rsidR="00B25AD2" w:rsidRDefault="00B25AD2" w:rsidP="00B25AD2">
      <w:pPr>
        <w:pStyle w:val="NormalWeb"/>
        <w:jc w:val="both"/>
      </w:pPr>
      <w:r>
        <w:t>Keyfiyyət üzrə məsul şəxs:</w:t>
      </w:r>
    </w:p>
    <w:p w:rsidR="00B25AD2" w:rsidRDefault="00B25AD2" w:rsidP="00B25AD2">
      <w:pPr>
        <w:pStyle w:val="NormalWeb"/>
        <w:numPr>
          <w:ilvl w:val="0"/>
          <w:numId w:val="5"/>
        </w:numPr>
        <w:jc w:val="both"/>
      </w:pPr>
      <w:r>
        <w:t>prosedurun tətbiqinə nəzarət edir;</w:t>
      </w:r>
    </w:p>
    <w:p w:rsidR="00B25AD2" w:rsidRDefault="00B25AD2" w:rsidP="00B25AD2">
      <w:pPr>
        <w:pStyle w:val="NormalWeb"/>
        <w:numPr>
          <w:ilvl w:val="0"/>
          <w:numId w:val="5"/>
        </w:numPr>
        <w:jc w:val="both"/>
      </w:pPr>
      <w:r>
        <w:t>şikayətlərin statistik təhlilini aparır;</w:t>
      </w:r>
    </w:p>
    <w:p w:rsidR="00B25AD2" w:rsidRDefault="00B25AD2" w:rsidP="00B25AD2">
      <w:pPr>
        <w:pStyle w:val="NormalWeb"/>
        <w:numPr>
          <w:ilvl w:val="0"/>
          <w:numId w:val="5"/>
        </w:numPr>
        <w:jc w:val="both"/>
      </w:pPr>
      <w:r>
        <w:t>təkrarlanan problemləri müəyyən edir;</w:t>
      </w:r>
    </w:p>
    <w:p w:rsidR="00B25AD2" w:rsidRDefault="00B25AD2" w:rsidP="00B25AD2">
      <w:pPr>
        <w:pStyle w:val="NormalWeb"/>
        <w:numPr>
          <w:ilvl w:val="0"/>
          <w:numId w:val="5"/>
        </w:numPr>
        <w:jc w:val="both"/>
      </w:pPr>
      <w:r>
        <w:t>düzəldici və qabaqlayıcı tədbirlərin icrasını izləyir;</w:t>
      </w:r>
    </w:p>
    <w:p w:rsidR="00B25AD2" w:rsidRDefault="00B25AD2" w:rsidP="00B25AD2">
      <w:pPr>
        <w:pStyle w:val="NormalWeb"/>
        <w:numPr>
          <w:ilvl w:val="0"/>
          <w:numId w:val="5"/>
        </w:numPr>
        <w:jc w:val="both"/>
      </w:pPr>
      <w:r>
        <w:t>rəhbərliyin təhlili üçün hesabat hazırlayır.</w:t>
      </w:r>
    </w:p>
    <w:p w:rsidR="00B25AD2" w:rsidRDefault="00B25AD2" w:rsidP="00B25AD2">
      <w:pPr>
        <w:pStyle w:val="Heading3"/>
        <w:jc w:val="both"/>
      </w:pPr>
      <w:r>
        <w:t>6.3. Araşdırma Komissiyası</w:t>
      </w:r>
    </w:p>
    <w:p w:rsidR="00B25AD2" w:rsidRDefault="00B25AD2" w:rsidP="00B25AD2">
      <w:pPr>
        <w:pStyle w:val="NormalWeb"/>
        <w:jc w:val="both"/>
      </w:pPr>
      <w:r>
        <w:t>Komissiya:</w:t>
      </w:r>
    </w:p>
    <w:p w:rsidR="00B25AD2" w:rsidRDefault="00B25AD2" w:rsidP="00B25AD2">
      <w:pPr>
        <w:pStyle w:val="NormalWeb"/>
        <w:numPr>
          <w:ilvl w:val="0"/>
          <w:numId w:val="6"/>
        </w:numPr>
        <w:jc w:val="both"/>
      </w:pPr>
      <w:r>
        <w:t>təqdim edilmiş bütün sübutları araşdırır;</w:t>
      </w:r>
    </w:p>
    <w:p w:rsidR="00B25AD2" w:rsidRDefault="00B25AD2" w:rsidP="00B25AD2">
      <w:pPr>
        <w:pStyle w:val="NormalWeb"/>
        <w:numPr>
          <w:ilvl w:val="0"/>
          <w:numId w:val="6"/>
        </w:numPr>
        <w:jc w:val="both"/>
      </w:pPr>
      <w:r>
        <w:t>lazım gəldikdə əlavə məlumat tələb edir;</w:t>
      </w:r>
    </w:p>
    <w:p w:rsidR="00B25AD2" w:rsidRDefault="00B25AD2" w:rsidP="00B25AD2">
      <w:pPr>
        <w:pStyle w:val="NormalWeb"/>
        <w:numPr>
          <w:ilvl w:val="0"/>
          <w:numId w:val="6"/>
        </w:numPr>
        <w:jc w:val="both"/>
      </w:pPr>
      <w:r>
        <w:t>tərəfləri dinləyir;</w:t>
      </w:r>
    </w:p>
    <w:p w:rsidR="00B25AD2" w:rsidRDefault="00B25AD2" w:rsidP="00B25AD2">
      <w:pPr>
        <w:pStyle w:val="NormalWeb"/>
        <w:numPr>
          <w:ilvl w:val="0"/>
          <w:numId w:val="6"/>
        </w:numPr>
        <w:jc w:val="both"/>
      </w:pPr>
      <w:r>
        <w:t>obyektiv rəy hazırlayır;</w:t>
      </w:r>
    </w:p>
    <w:p w:rsidR="00B25AD2" w:rsidRDefault="00B25AD2" w:rsidP="00B25AD2">
      <w:pPr>
        <w:pStyle w:val="NormalWeb"/>
        <w:numPr>
          <w:ilvl w:val="0"/>
          <w:numId w:val="6"/>
        </w:numPr>
        <w:jc w:val="both"/>
      </w:pPr>
      <w:r>
        <w:t>yekun qərarın qəbul edilməsi üçün tövsiyə verir.</w:t>
      </w:r>
    </w:p>
    <w:p w:rsidR="00B25AD2" w:rsidRDefault="00B25AD2" w:rsidP="00B25AD2">
      <w:pPr>
        <w:pStyle w:val="NormalWeb"/>
        <w:jc w:val="both"/>
      </w:pPr>
      <w:r>
        <w:t>Komissiyanın tərkibinə şikayət edilən hadisədə iştirak etmiş şəxslər daxil edilə bilməz.</w:t>
      </w:r>
    </w:p>
    <w:p w:rsidR="00B25AD2" w:rsidRDefault="00B25AD2" w:rsidP="00B25AD2">
      <w:pPr>
        <w:pStyle w:val="Heading3"/>
        <w:jc w:val="both"/>
      </w:pPr>
      <w:r>
        <w:t>6.4. Assessorlar</w:t>
      </w:r>
    </w:p>
    <w:p w:rsidR="00B25AD2" w:rsidRDefault="00B25AD2" w:rsidP="00B25AD2">
      <w:pPr>
        <w:pStyle w:val="NormalWeb"/>
        <w:jc w:val="both"/>
      </w:pPr>
      <w:r>
        <w:t>Assessorlar:</w:t>
      </w:r>
    </w:p>
    <w:p w:rsidR="00B25AD2" w:rsidRDefault="00B25AD2" w:rsidP="00B25AD2">
      <w:pPr>
        <w:pStyle w:val="NormalWeb"/>
        <w:numPr>
          <w:ilvl w:val="0"/>
          <w:numId w:val="7"/>
        </w:numPr>
        <w:jc w:val="both"/>
      </w:pPr>
      <w:r>
        <w:t>araşdırma zamanı tələb olunan məlumatları təqdim etməlidirlər;</w:t>
      </w:r>
    </w:p>
    <w:p w:rsidR="00B25AD2" w:rsidRDefault="00B25AD2" w:rsidP="00B25AD2">
      <w:pPr>
        <w:pStyle w:val="NormalWeb"/>
        <w:numPr>
          <w:ilvl w:val="0"/>
          <w:numId w:val="7"/>
        </w:numPr>
        <w:jc w:val="both"/>
      </w:pPr>
      <w:r>
        <w:t>komissiyanın işinə mane olmamalıdırlar;</w:t>
      </w:r>
    </w:p>
    <w:p w:rsidR="00B25AD2" w:rsidRDefault="00B25AD2" w:rsidP="00B25AD2">
      <w:pPr>
        <w:pStyle w:val="NormalWeb"/>
        <w:numPr>
          <w:ilvl w:val="0"/>
          <w:numId w:val="7"/>
        </w:numPr>
        <w:jc w:val="both"/>
      </w:pPr>
      <w:r>
        <w:t>maraqlar toqquşması yarandıqda bunu dərhal yazılı şəkildə bildirməlidirlər.</w:t>
      </w:r>
    </w:p>
    <w:p w:rsidR="00B25AD2" w:rsidRDefault="00B25AD2" w:rsidP="00B25AD2">
      <w:pPr>
        <w:pStyle w:val="Heading1"/>
        <w:jc w:val="both"/>
      </w:pPr>
      <w:r>
        <w:t>7. Şikayətlərin qəbulu</w:t>
      </w:r>
    </w:p>
    <w:p w:rsidR="00B25AD2" w:rsidRDefault="00B25AD2" w:rsidP="00B25AD2">
      <w:pPr>
        <w:pStyle w:val="NormalWeb"/>
        <w:jc w:val="both"/>
      </w:pPr>
      <w:r>
        <w:t>Şikayətlər aşağıdakı üsullarla qəbul edilə bilər:</w:t>
      </w:r>
    </w:p>
    <w:p w:rsidR="00B25AD2" w:rsidRDefault="00B25AD2" w:rsidP="00B25AD2">
      <w:pPr>
        <w:pStyle w:val="NormalWeb"/>
        <w:numPr>
          <w:ilvl w:val="0"/>
          <w:numId w:val="8"/>
        </w:numPr>
        <w:jc w:val="both"/>
      </w:pPr>
      <w:r>
        <w:t>elektron poçt vasitəsilə;</w:t>
      </w:r>
    </w:p>
    <w:p w:rsidR="00B25AD2" w:rsidRDefault="00B25AD2" w:rsidP="00B25AD2">
      <w:pPr>
        <w:pStyle w:val="NormalWeb"/>
        <w:numPr>
          <w:ilvl w:val="0"/>
          <w:numId w:val="8"/>
        </w:numPr>
        <w:jc w:val="both"/>
      </w:pPr>
      <w:r>
        <w:t>rəsmi məktubla;</w:t>
      </w:r>
    </w:p>
    <w:p w:rsidR="00B25AD2" w:rsidRDefault="00B25AD2" w:rsidP="00B25AD2">
      <w:pPr>
        <w:pStyle w:val="NormalWeb"/>
        <w:numPr>
          <w:ilvl w:val="0"/>
          <w:numId w:val="8"/>
        </w:numPr>
        <w:jc w:val="both"/>
      </w:pPr>
      <w:r>
        <w:t>AzPMA-nın internet səhifəsində yerləşdirilmiş müraciət forması vasitəsilə;</w:t>
      </w:r>
    </w:p>
    <w:p w:rsidR="00B25AD2" w:rsidRDefault="00B25AD2" w:rsidP="00B25AD2">
      <w:pPr>
        <w:pStyle w:val="NormalWeb"/>
        <w:numPr>
          <w:ilvl w:val="0"/>
          <w:numId w:val="8"/>
        </w:numPr>
        <w:jc w:val="both"/>
      </w:pPr>
      <w:r>
        <w:t>şəxsən təqdim edilməklə.</w:t>
      </w:r>
    </w:p>
    <w:p w:rsidR="00B25AD2" w:rsidRDefault="00B25AD2" w:rsidP="00B25AD2">
      <w:pPr>
        <w:pStyle w:val="NormalWeb"/>
        <w:jc w:val="both"/>
      </w:pPr>
      <w:r>
        <w:t>Şikayət aşağıdakı məlumatları əhatə etməlidir:</w:t>
      </w:r>
    </w:p>
    <w:p w:rsidR="00B25AD2" w:rsidRDefault="00B25AD2" w:rsidP="00B25AD2">
      <w:pPr>
        <w:pStyle w:val="NormalWeb"/>
        <w:numPr>
          <w:ilvl w:val="0"/>
          <w:numId w:val="9"/>
        </w:numPr>
        <w:jc w:val="both"/>
      </w:pPr>
      <w:r>
        <w:t>müraciət edən şəxsin adı və əlaqə məlumatları;</w:t>
      </w:r>
    </w:p>
    <w:p w:rsidR="00B25AD2" w:rsidRDefault="00B25AD2" w:rsidP="00B25AD2">
      <w:pPr>
        <w:pStyle w:val="NormalWeb"/>
        <w:numPr>
          <w:ilvl w:val="0"/>
          <w:numId w:val="9"/>
        </w:numPr>
        <w:jc w:val="both"/>
      </w:pPr>
      <w:r>
        <w:t>sertifikatlaşdırma səviyyəsi;</w:t>
      </w:r>
    </w:p>
    <w:p w:rsidR="00B25AD2" w:rsidRDefault="00B25AD2" w:rsidP="00B25AD2">
      <w:pPr>
        <w:pStyle w:val="NormalWeb"/>
        <w:numPr>
          <w:ilvl w:val="0"/>
          <w:numId w:val="9"/>
        </w:numPr>
        <w:jc w:val="both"/>
      </w:pPr>
      <w:r>
        <w:t>müraciətin mövzusu;</w:t>
      </w:r>
    </w:p>
    <w:p w:rsidR="00B25AD2" w:rsidRDefault="00B25AD2" w:rsidP="00B25AD2">
      <w:pPr>
        <w:pStyle w:val="NormalWeb"/>
        <w:numPr>
          <w:ilvl w:val="0"/>
          <w:numId w:val="9"/>
        </w:numPr>
        <w:jc w:val="both"/>
      </w:pPr>
      <w:r>
        <w:t>hadisənin baş vermə tarixi;</w:t>
      </w:r>
    </w:p>
    <w:p w:rsidR="00B25AD2" w:rsidRDefault="00B25AD2" w:rsidP="00B25AD2">
      <w:pPr>
        <w:pStyle w:val="NormalWeb"/>
        <w:numPr>
          <w:ilvl w:val="0"/>
          <w:numId w:val="9"/>
        </w:numPr>
        <w:jc w:val="both"/>
      </w:pPr>
      <w:r>
        <w:t>ətraflı təsviri;</w:t>
      </w:r>
    </w:p>
    <w:p w:rsidR="00B25AD2" w:rsidRDefault="00B25AD2" w:rsidP="00B25AD2">
      <w:pPr>
        <w:pStyle w:val="NormalWeb"/>
        <w:numPr>
          <w:ilvl w:val="0"/>
          <w:numId w:val="9"/>
        </w:numPr>
        <w:jc w:val="both"/>
      </w:pPr>
      <w:r>
        <w:t>mövcud sübutlar və əlavələr.</w:t>
      </w:r>
    </w:p>
    <w:p w:rsidR="00B25AD2" w:rsidRDefault="00B25AD2" w:rsidP="00B25AD2">
      <w:pPr>
        <w:pStyle w:val="NormalWeb"/>
        <w:jc w:val="both"/>
      </w:pPr>
      <w:r>
        <w:t>Anonim müraciətlər yalnız kifayət qədər əsaslandırılmış sübutlar təqdim edildikdə araşdırmaya qəbul edilə bilər.</w:t>
      </w:r>
    </w:p>
    <w:p w:rsidR="00B25AD2" w:rsidRDefault="00B25AD2" w:rsidP="00B25AD2">
      <w:pPr>
        <w:pStyle w:val="Heading1"/>
        <w:jc w:val="both"/>
      </w:pPr>
      <w:r>
        <w:t>8. Şikayətlərin qeydiyyatı</w:t>
      </w:r>
    </w:p>
    <w:p w:rsidR="00B25AD2" w:rsidRDefault="00B25AD2" w:rsidP="00B25AD2">
      <w:pPr>
        <w:pStyle w:val="NormalWeb"/>
        <w:jc w:val="both"/>
      </w:pPr>
      <w:r>
        <w:t xml:space="preserve">Daxil olan hər bir şikayət </w:t>
      </w:r>
      <w:r>
        <w:rPr>
          <w:rStyle w:val="Strong"/>
        </w:rPr>
        <w:t>Şikayətlərin Qeydiyyat Jurnalı</w:t>
      </w:r>
      <w:r>
        <w:t>nda qeydiyyata alınır.</w:t>
      </w:r>
    </w:p>
    <w:p w:rsidR="00B25AD2" w:rsidRDefault="00B25AD2" w:rsidP="00B25AD2">
      <w:pPr>
        <w:pStyle w:val="NormalWeb"/>
        <w:jc w:val="both"/>
      </w:pPr>
      <w:r>
        <w:t>Hər müraciətə unikal qeydiyyat nömrəsi verilir.</w:t>
      </w:r>
    </w:p>
    <w:p w:rsidR="00B25AD2" w:rsidRDefault="00B25AD2" w:rsidP="00B25AD2">
      <w:pPr>
        <w:pStyle w:val="NormalWeb"/>
        <w:jc w:val="both"/>
      </w:pPr>
      <w:r>
        <w:t>Qeydiyyatda aşağıdakı məlumatlar saxlanılır:</w:t>
      </w:r>
    </w:p>
    <w:p w:rsidR="00B25AD2" w:rsidRDefault="00B25AD2" w:rsidP="00B25AD2">
      <w:pPr>
        <w:pStyle w:val="NormalWeb"/>
        <w:numPr>
          <w:ilvl w:val="0"/>
          <w:numId w:val="10"/>
        </w:numPr>
        <w:jc w:val="both"/>
      </w:pPr>
      <w:r>
        <w:t>qeydiyyat nömrəsi;</w:t>
      </w:r>
    </w:p>
    <w:p w:rsidR="00B25AD2" w:rsidRDefault="00B25AD2" w:rsidP="00B25AD2">
      <w:pPr>
        <w:pStyle w:val="NormalWeb"/>
        <w:numPr>
          <w:ilvl w:val="0"/>
          <w:numId w:val="10"/>
        </w:numPr>
        <w:jc w:val="both"/>
      </w:pPr>
      <w:r>
        <w:t>qəbul tarixi;</w:t>
      </w:r>
    </w:p>
    <w:p w:rsidR="00B25AD2" w:rsidRDefault="00B25AD2" w:rsidP="00B25AD2">
      <w:pPr>
        <w:pStyle w:val="NormalWeb"/>
        <w:numPr>
          <w:ilvl w:val="0"/>
          <w:numId w:val="10"/>
        </w:numPr>
        <w:jc w:val="both"/>
      </w:pPr>
      <w:r>
        <w:t>müraciət edən şəxs;</w:t>
      </w:r>
    </w:p>
    <w:p w:rsidR="00B25AD2" w:rsidRDefault="00B25AD2" w:rsidP="00B25AD2">
      <w:pPr>
        <w:pStyle w:val="NormalWeb"/>
        <w:numPr>
          <w:ilvl w:val="0"/>
          <w:numId w:val="10"/>
        </w:numPr>
        <w:jc w:val="both"/>
      </w:pPr>
      <w:r>
        <w:t>müraciətin predmeti;</w:t>
      </w:r>
    </w:p>
    <w:p w:rsidR="00B25AD2" w:rsidRDefault="00B25AD2" w:rsidP="00B25AD2">
      <w:pPr>
        <w:pStyle w:val="NormalWeb"/>
        <w:numPr>
          <w:ilvl w:val="0"/>
          <w:numId w:val="10"/>
        </w:numPr>
        <w:jc w:val="both"/>
      </w:pPr>
      <w:r>
        <w:t>məsul şəxs;</w:t>
      </w:r>
    </w:p>
    <w:p w:rsidR="00B25AD2" w:rsidRDefault="00B25AD2" w:rsidP="00B25AD2">
      <w:pPr>
        <w:pStyle w:val="NormalWeb"/>
        <w:numPr>
          <w:ilvl w:val="0"/>
          <w:numId w:val="10"/>
        </w:numPr>
        <w:jc w:val="both"/>
      </w:pPr>
      <w:r>
        <w:t>araşdırmanın statusu;</w:t>
      </w:r>
    </w:p>
    <w:p w:rsidR="00B25AD2" w:rsidRDefault="00B25AD2" w:rsidP="00B25AD2">
      <w:pPr>
        <w:pStyle w:val="NormalWeb"/>
        <w:numPr>
          <w:ilvl w:val="0"/>
          <w:numId w:val="10"/>
        </w:numPr>
        <w:jc w:val="both"/>
      </w:pPr>
      <w:r>
        <w:t>yekun qərar;</w:t>
      </w:r>
    </w:p>
    <w:p w:rsidR="00B25AD2" w:rsidRDefault="00B25AD2" w:rsidP="00B25AD2">
      <w:pPr>
        <w:pStyle w:val="NormalWeb"/>
        <w:numPr>
          <w:ilvl w:val="0"/>
          <w:numId w:val="10"/>
        </w:numPr>
        <w:jc w:val="both"/>
      </w:pPr>
      <w:r>
        <w:t>bağlanma tarixi.</w:t>
      </w:r>
    </w:p>
    <w:p w:rsidR="00B25AD2" w:rsidRDefault="00B25AD2" w:rsidP="00B25AD2">
      <w:pPr>
        <w:pStyle w:val="NormalWeb"/>
        <w:jc w:val="both"/>
      </w:pPr>
      <w:r>
        <w:t xml:space="preserve">Şikayətin qəbul edilməsi barədə müraciət edən şəxsə </w:t>
      </w:r>
      <w:r>
        <w:rPr>
          <w:rStyle w:val="Strong"/>
        </w:rPr>
        <w:t>5 iş günü</w:t>
      </w:r>
      <w:r>
        <w:t xml:space="preserve"> ərzində məlumat verilir.</w:t>
      </w:r>
    </w:p>
    <w:p w:rsidR="00B25AD2" w:rsidRDefault="00B25AD2" w:rsidP="00B25AD2">
      <w:pPr>
        <w:pStyle w:val="Heading1"/>
        <w:jc w:val="both"/>
      </w:pPr>
      <w:r>
        <w:t>9. Araşdırma Prosesi</w:t>
      </w:r>
    </w:p>
    <w:p w:rsidR="00B25AD2" w:rsidRDefault="00B25AD2" w:rsidP="00B25AD2">
      <w:pPr>
        <w:pStyle w:val="NormalWeb"/>
        <w:jc w:val="both"/>
      </w:pPr>
      <w:r>
        <w:t>Araşdırma aşağıdakı mərhələlər üzrə həyata keçirilir:</w:t>
      </w:r>
    </w:p>
    <w:p w:rsidR="00B25AD2" w:rsidRDefault="00B25AD2" w:rsidP="00B25AD2">
      <w:pPr>
        <w:pStyle w:val="Heading3"/>
        <w:jc w:val="both"/>
      </w:pPr>
      <w:r>
        <w:t>Mərhələ 1</w:t>
      </w:r>
    </w:p>
    <w:p w:rsidR="00B25AD2" w:rsidRDefault="00B25AD2" w:rsidP="00B25AD2">
      <w:pPr>
        <w:pStyle w:val="NormalWeb"/>
        <w:jc w:val="both"/>
      </w:pPr>
      <w:r>
        <w:t>Şikayətin ilkin qiymətləndirilməsi.</w:t>
      </w:r>
    </w:p>
    <w:p w:rsidR="00B25AD2" w:rsidRDefault="00B25AD2" w:rsidP="00B25AD2">
      <w:pPr>
        <w:pStyle w:val="NormalWeb"/>
        <w:jc w:val="both"/>
      </w:pPr>
      <w:r>
        <w:t>Müraciətin AzPMA Sertifikatlaşdırma Orqanının fəaliyyət sahəsinə aid olub-olmaması müəyyən edilir.</w:t>
      </w:r>
    </w:p>
    <w:p w:rsidR="00B25AD2" w:rsidRDefault="00B25AD2" w:rsidP="00B25AD2">
      <w:pPr>
        <w:pStyle w:val="Heading3"/>
        <w:jc w:val="both"/>
      </w:pPr>
      <w:r>
        <w:t>Mərhələ 2</w:t>
      </w:r>
    </w:p>
    <w:p w:rsidR="00B25AD2" w:rsidRDefault="00B25AD2" w:rsidP="00B25AD2">
      <w:pPr>
        <w:pStyle w:val="NormalWeb"/>
        <w:jc w:val="both"/>
      </w:pPr>
      <w:r>
        <w:t>Maraqlar toqquşmasının qiymətləndirilməsi.</w:t>
      </w:r>
    </w:p>
    <w:p w:rsidR="00B25AD2" w:rsidRDefault="00B25AD2" w:rsidP="00B25AD2">
      <w:pPr>
        <w:pStyle w:val="NormalWeb"/>
        <w:jc w:val="both"/>
      </w:pPr>
      <w:r>
        <w:t>Araşdırmada iştirak edəcək şəxslərin hadisə ilə əlaqəsinin olub-olmaması yoxlanılır.</w:t>
      </w:r>
    </w:p>
    <w:p w:rsidR="00B25AD2" w:rsidRDefault="00B25AD2" w:rsidP="00B25AD2">
      <w:pPr>
        <w:pStyle w:val="NormalWeb"/>
        <w:jc w:val="both"/>
      </w:pPr>
      <w:r>
        <w:t>Maraqlar toqquşması müəyyən edildikdə həmin şəxs prosesdən kənarlaşdırılır.</w:t>
      </w:r>
    </w:p>
    <w:p w:rsidR="00B25AD2" w:rsidRDefault="00B25AD2" w:rsidP="00B25AD2">
      <w:pPr>
        <w:pStyle w:val="Heading3"/>
        <w:jc w:val="both"/>
      </w:pPr>
      <w:r>
        <w:t>Mərhələ 3</w:t>
      </w:r>
    </w:p>
    <w:p w:rsidR="00B25AD2" w:rsidRDefault="00B25AD2" w:rsidP="00B25AD2">
      <w:pPr>
        <w:pStyle w:val="NormalWeb"/>
        <w:jc w:val="both"/>
      </w:pPr>
      <w:r>
        <w:t>Sübutların toplanması.</w:t>
      </w:r>
    </w:p>
    <w:p w:rsidR="00B25AD2" w:rsidRDefault="00B25AD2" w:rsidP="00B25AD2">
      <w:pPr>
        <w:pStyle w:val="NormalWeb"/>
        <w:jc w:val="both"/>
      </w:pPr>
      <w:r>
        <w:t>Komissiya aşağıdakı məlumatlardan istifadə edə bilər:</w:t>
      </w:r>
    </w:p>
    <w:p w:rsidR="00B25AD2" w:rsidRDefault="00B25AD2" w:rsidP="00B25AD2">
      <w:pPr>
        <w:pStyle w:val="NormalWeb"/>
        <w:numPr>
          <w:ilvl w:val="0"/>
          <w:numId w:val="11"/>
        </w:numPr>
        <w:jc w:val="both"/>
      </w:pPr>
      <w:r>
        <w:t>namizəd dosyesi;</w:t>
      </w:r>
    </w:p>
    <w:p w:rsidR="00B25AD2" w:rsidRDefault="00B25AD2" w:rsidP="00B25AD2">
      <w:pPr>
        <w:pStyle w:val="NormalWeb"/>
        <w:numPr>
          <w:ilvl w:val="0"/>
          <w:numId w:val="11"/>
        </w:numPr>
        <w:jc w:val="both"/>
      </w:pPr>
      <w:r>
        <w:t>assessor hesabatları;</w:t>
      </w:r>
    </w:p>
    <w:p w:rsidR="00B25AD2" w:rsidRDefault="00B25AD2" w:rsidP="00B25AD2">
      <w:pPr>
        <w:pStyle w:val="NormalWeb"/>
        <w:numPr>
          <w:ilvl w:val="0"/>
          <w:numId w:val="11"/>
        </w:numPr>
        <w:jc w:val="both"/>
      </w:pPr>
      <w:r>
        <w:t>imtahan nəticələri;</w:t>
      </w:r>
    </w:p>
    <w:p w:rsidR="00B25AD2" w:rsidRDefault="00B25AD2" w:rsidP="00B25AD2">
      <w:pPr>
        <w:pStyle w:val="NormalWeb"/>
        <w:numPr>
          <w:ilvl w:val="0"/>
          <w:numId w:val="11"/>
        </w:numPr>
        <w:jc w:val="both"/>
      </w:pPr>
      <w:r>
        <w:t>video və audio qeydlər (mövcud olduqda);</w:t>
      </w:r>
    </w:p>
    <w:p w:rsidR="00B25AD2" w:rsidRDefault="00B25AD2" w:rsidP="00B25AD2">
      <w:pPr>
        <w:pStyle w:val="NormalWeb"/>
        <w:numPr>
          <w:ilvl w:val="0"/>
          <w:numId w:val="11"/>
        </w:numPr>
        <w:jc w:val="both"/>
      </w:pPr>
      <w:r>
        <w:t>yazışmalar;</w:t>
      </w:r>
    </w:p>
    <w:p w:rsidR="00B25AD2" w:rsidRDefault="00B25AD2" w:rsidP="00B25AD2">
      <w:pPr>
        <w:pStyle w:val="NormalWeb"/>
        <w:numPr>
          <w:ilvl w:val="0"/>
          <w:numId w:val="11"/>
        </w:numPr>
        <w:jc w:val="both"/>
      </w:pPr>
      <w:r>
        <w:t>digər aidiyyəti sənədlər.</w:t>
      </w:r>
    </w:p>
    <w:p w:rsidR="00B25AD2" w:rsidRDefault="00B25AD2" w:rsidP="00B25AD2">
      <w:pPr>
        <w:pStyle w:val="Heading3"/>
        <w:jc w:val="both"/>
      </w:pPr>
      <w:r>
        <w:t>Mərhələ 4</w:t>
      </w:r>
    </w:p>
    <w:p w:rsidR="00B25AD2" w:rsidRDefault="00B25AD2" w:rsidP="00B25AD2">
      <w:pPr>
        <w:pStyle w:val="NormalWeb"/>
        <w:jc w:val="both"/>
      </w:pPr>
      <w:r>
        <w:t>Qiymətləndirmə.</w:t>
      </w:r>
    </w:p>
    <w:p w:rsidR="00B25AD2" w:rsidRDefault="00B25AD2" w:rsidP="00B25AD2">
      <w:pPr>
        <w:pStyle w:val="NormalWeb"/>
        <w:jc w:val="both"/>
      </w:pPr>
      <w:r>
        <w:t>Toplanmış sübutlar IPMA və AzPMA prosedurlarına uyğun qiymətləndirilir.</w:t>
      </w:r>
    </w:p>
    <w:p w:rsidR="00B25AD2" w:rsidRDefault="00B25AD2" w:rsidP="00B25AD2">
      <w:pPr>
        <w:pStyle w:val="NormalWeb"/>
        <w:jc w:val="both"/>
      </w:pPr>
      <w:r>
        <w:t>Əlavə məlumat tələb olunduqda müraciət edən şəxsə yazılı sorğu göndərilə bilər.</w:t>
      </w:r>
    </w:p>
    <w:p w:rsidR="00B25AD2" w:rsidRDefault="00B25AD2" w:rsidP="00B25AD2">
      <w:pPr>
        <w:pStyle w:val="Heading3"/>
        <w:jc w:val="both"/>
      </w:pPr>
      <w:r>
        <w:t>Mərhələ 5</w:t>
      </w:r>
    </w:p>
    <w:p w:rsidR="00B25AD2" w:rsidRDefault="00B25AD2" w:rsidP="00B25AD2">
      <w:pPr>
        <w:pStyle w:val="NormalWeb"/>
        <w:jc w:val="both"/>
      </w:pPr>
      <w:r>
        <w:t>Araşdırma Hesabatının hazırlanması.</w:t>
      </w:r>
    </w:p>
    <w:p w:rsidR="00B25AD2" w:rsidRDefault="00B25AD2" w:rsidP="00B25AD2">
      <w:pPr>
        <w:pStyle w:val="NormalWeb"/>
        <w:jc w:val="both"/>
      </w:pPr>
      <w:r>
        <w:t>Komissiya aşağıdakıları əks etdirən hesabat hazırlayır:</w:t>
      </w:r>
    </w:p>
    <w:p w:rsidR="00B25AD2" w:rsidRDefault="00B25AD2" w:rsidP="00B25AD2">
      <w:pPr>
        <w:pStyle w:val="NormalWeb"/>
        <w:numPr>
          <w:ilvl w:val="0"/>
          <w:numId w:val="12"/>
        </w:numPr>
        <w:jc w:val="both"/>
      </w:pPr>
      <w:r>
        <w:t>araşdırmanın məqsədi;</w:t>
      </w:r>
    </w:p>
    <w:p w:rsidR="00B25AD2" w:rsidRDefault="00B25AD2" w:rsidP="00B25AD2">
      <w:pPr>
        <w:pStyle w:val="NormalWeb"/>
        <w:numPr>
          <w:ilvl w:val="0"/>
          <w:numId w:val="12"/>
        </w:numPr>
        <w:jc w:val="both"/>
      </w:pPr>
      <w:r>
        <w:t>araşdırılmış faktlar;</w:t>
      </w:r>
    </w:p>
    <w:p w:rsidR="00B25AD2" w:rsidRDefault="00B25AD2" w:rsidP="00B25AD2">
      <w:pPr>
        <w:pStyle w:val="NormalWeb"/>
        <w:numPr>
          <w:ilvl w:val="0"/>
          <w:numId w:val="12"/>
        </w:numPr>
        <w:jc w:val="both"/>
      </w:pPr>
      <w:r>
        <w:t>istifadə olunan sübutlar;</w:t>
      </w:r>
    </w:p>
    <w:p w:rsidR="00B25AD2" w:rsidRDefault="00B25AD2" w:rsidP="00B25AD2">
      <w:pPr>
        <w:pStyle w:val="NormalWeb"/>
        <w:numPr>
          <w:ilvl w:val="0"/>
          <w:numId w:val="12"/>
        </w:numPr>
        <w:jc w:val="both"/>
      </w:pPr>
      <w:r>
        <w:t>müəyyən edilmiş uyğunsuzluqlar;</w:t>
      </w:r>
    </w:p>
    <w:p w:rsidR="00B25AD2" w:rsidRDefault="00B25AD2" w:rsidP="00B25AD2">
      <w:pPr>
        <w:pStyle w:val="NormalWeb"/>
        <w:numPr>
          <w:ilvl w:val="0"/>
          <w:numId w:val="12"/>
        </w:numPr>
        <w:jc w:val="both"/>
      </w:pPr>
      <w:r>
        <w:t>tövsiyələr.</w:t>
      </w:r>
    </w:p>
    <w:p w:rsidR="00B25AD2" w:rsidRDefault="00B25AD2" w:rsidP="00B25AD2">
      <w:pPr>
        <w:pStyle w:val="NormalWeb"/>
        <w:jc w:val="both"/>
      </w:pPr>
      <w:r>
        <w:t xml:space="preserve">Araşdırmanın standart müddəti </w:t>
      </w:r>
      <w:r>
        <w:rPr>
          <w:rStyle w:val="Strong"/>
        </w:rPr>
        <w:t>30 təqvim günüdür</w:t>
      </w:r>
      <w:r>
        <w:t>.</w:t>
      </w:r>
    </w:p>
    <w:p w:rsidR="00B25AD2" w:rsidRDefault="00B25AD2" w:rsidP="00B25AD2">
      <w:pPr>
        <w:pStyle w:val="NormalWeb"/>
        <w:jc w:val="both"/>
      </w:pPr>
      <w:r>
        <w:t>Zərurət yarandıqda müddət əsaslandırılmış qərarla uzadıla bilər və bu barədə müraciət edən şəxs məlumatlandırılır.</w:t>
      </w:r>
    </w:p>
    <w:p w:rsidR="00B25AD2" w:rsidRDefault="00B25AD2" w:rsidP="00B25AD2">
      <w:pPr>
        <w:pStyle w:val="Heading1"/>
        <w:jc w:val="both"/>
      </w:pPr>
      <w:r>
        <w:t>10. Qərarın qəbul edilməsi</w:t>
      </w:r>
    </w:p>
    <w:p w:rsidR="00B25AD2" w:rsidRDefault="00B25AD2" w:rsidP="00B25AD2">
      <w:pPr>
        <w:pStyle w:val="NormalWeb"/>
        <w:jc w:val="both"/>
      </w:pPr>
      <w:r>
        <w:t>Araşdırma başa çatdıqdan sonra yekun qərar Sertifikatlaşdırma Meneceri tərəfindən Komissiyanın rəyi nəzərə alınmaqla qəbul edilir.</w:t>
      </w:r>
    </w:p>
    <w:p w:rsidR="00B25AD2" w:rsidRDefault="00B25AD2" w:rsidP="00B25AD2">
      <w:pPr>
        <w:pStyle w:val="NormalWeb"/>
        <w:jc w:val="both"/>
      </w:pPr>
      <w:r>
        <w:t>Qərar aşağıdakılardan biri ola bilər:</w:t>
      </w:r>
    </w:p>
    <w:p w:rsidR="00B25AD2" w:rsidRDefault="00B25AD2" w:rsidP="00B25AD2">
      <w:pPr>
        <w:pStyle w:val="NormalWeb"/>
        <w:numPr>
          <w:ilvl w:val="0"/>
          <w:numId w:val="13"/>
        </w:numPr>
        <w:jc w:val="both"/>
      </w:pPr>
      <w:r>
        <w:t>şikayət təmin edilir;</w:t>
      </w:r>
    </w:p>
    <w:p w:rsidR="00B25AD2" w:rsidRDefault="00B25AD2" w:rsidP="00B25AD2">
      <w:pPr>
        <w:pStyle w:val="NormalWeb"/>
        <w:numPr>
          <w:ilvl w:val="0"/>
          <w:numId w:val="13"/>
        </w:numPr>
        <w:jc w:val="both"/>
      </w:pPr>
      <w:r>
        <w:t>şikayət qismən təmin edilir;</w:t>
      </w:r>
    </w:p>
    <w:p w:rsidR="00B25AD2" w:rsidRDefault="00B25AD2" w:rsidP="00B25AD2">
      <w:pPr>
        <w:pStyle w:val="NormalWeb"/>
        <w:numPr>
          <w:ilvl w:val="0"/>
          <w:numId w:val="13"/>
        </w:numPr>
        <w:jc w:val="both"/>
      </w:pPr>
      <w:r>
        <w:t>şikayət təmin edilmir;</w:t>
      </w:r>
    </w:p>
    <w:p w:rsidR="00B25AD2" w:rsidRDefault="00B25AD2" w:rsidP="00B25AD2">
      <w:pPr>
        <w:pStyle w:val="NormalWeb"/>
        <w:numPr>
          <w:ilvl w:val="0"/>
          <w:numId w:val="13"/>
        </w:numPr>
        <w:jc w:val="both"/>
      </w:pPr>
      <w:r>
        <w:t>əlavə araşdırma tələb olunur.</w:t>
      </w:r>
    </w:p>
    <w:p w:rsidR="00B25AD2" w:rsidRDefault="00B25AD2" w:rsidP="00B25AD2">
      <w:pPr>
        <w:pStyle w:val="NormalWeb"/>
        <w:jc w:val="both"/>
      </w:pPr>
      <w:r>
        <w:t>Qərar əsaslandırılmış şəkildə yazılı formada rəsmiləşdirilir və müraciət edən şəxsə göndərilir.</w:t>
      </w:r>
    </w:p>
    <w:p w:rsidR="00B25AD2" w:rsidRDefault="00B25AD2" w:rsidP="00B25AD2">
      <w:pPr>
        <w:pStyle w:val="NormalWeb"/>
        <w:jc w:val="both"/>
      </w:pPr>
      <w:r>
        <w:t>Şikayət təmin olunduğu hallarda AzPMA aşağıdakı tədbirlərdən birini və ya bir neçəsini həyata keçirə bilər:</w:t>
      </w:r>
    </w:p>
    <w:p w:rsidR="00B25AD2" w:rsidRDefault="00B25AD2" w:rsidP="00B25AD2">
      <w:pPr>
        <w:pStyle w:val="NormalWeb"/>
        <w:numPr>
          <w:ilvl w:val="0"/>
          <w:numId w:val="14"/>
        </w:numPr>
        <w:jc w:val="both"/>
      </w:pPr>
      <w:r>
        <w:t>yenidən qiymətləndirmə;</w:t>
      </w:r>
    </w:p>
    <w:p w:rsidR="00B25AD2" w:rsidRDefault="00B25AD2" w:rsidP="00B25AD2">
      <w:pPr>
        <w:pStyle w:val="NormalWeb"/>
        <w:numPr>
          <w:ilvl w:val="0"/>
          <w:numId w:val="14"/>
        </w:numPr>
        <w:jc w:val="both"/>
      </w:pPr>
      <w:r>
        <w:t>əlavə ekspert baxışı;</w:t>
      </w:r>
    </w:p>
    <w:p w:rsidR="00B25AD2" w:rsidRDefault="00B25AD2" w:rsidP="00B25AD2">
      <w:pPr>
        <w:pStyle w:val="NormalWeb"/>
        <w:numPr>
          <w:ilvl w:val="0"/>
          <w:numId w:val="14"/>
        </w:numPr>
        <w:jc w:val="both"/>
      </w:pPr>
      <w:r>
        <w:t>assessorun dəyişdirilməsi;</w:t>
      </w:r>
    </w:p>
    <w:p w:rsidR="00B25AD2" w:rsidRDefault="00B25AD2" w:rsidP="00B25AD2">
      <w:pPr>
        <w:pStyle w:val="NormalWeb"/>
        <w:numPr>
          <w:ilvl w:val="0"/>
          <w:numId w:val="14"/>
        </w:numPr>
        <w:jc w:val="both"/>
      </w:pPr>
      <w:r>
        <w:t>prosedurun yenidən icrası;</w:t>
      </w:r>
    </w:p>
    <w:p w:rsidR="00B25AD2" w:rsidRDefault="00B25AD2" w:rsidP="00B25AD2">
      <w:pPr>
        <w:pStyle w:val="NormalWeb"/>
        <w:numPr>
          <w:ilvl w:val="0"/>
          <w:numId w:val="14"/>
        </w:numPr>
        <w:jc w:val="both"/>
      </w:pPr>
      <w:r>
        <w:t>düzəldici və qabaqlayıcı tədbirlərin tətbiqi;</w:t>
      </w:r>
    </w:p>
    <w:p w:rsidR="00B25AD2" w:rsidRDefault="00B25AD2" w:rsidP="00B25AD2">
      <w:pPr>
        <w:pStyle w:val="NormalWeb"/>
        <w:numPr>
          <w:ilvl w:val="0"/>
          <w:numId w:val="14"/>
        </w:numPr>
        <w:jc w:val="both"/>
      </w:pPr>
      <w:r>
        <w:t>daxili prosedurların yenilənməsi.</w:t>
      </w:r>
    </w:p>
    <w:p w:rsidR="00B25AD2" w:rsidRDefault="00B25AD2" w:rsidP="00B25AD2">
      <w:pPr>
        <w:pStyle w:val="NormalWeb"/>
        <w:jc w:val="both"/>
      </w:pPr>
      <w:r>
        <w:t>Bütün qərarlar sənədləşdirilir və müvafiq qeydlərlə birlikdə arxivləşdirilir.</w:t>
      </w:r>
    </w:p>
    <w:p w:rsidR="00B25AD2" w:rsidRDefault="00B25AD2" w:rsidP="00B25AD2">
      <w:pPr>
        <w:pStyle w:val="Heading1"/>
        <w:jc w:val="both"/>
      </w:pPr>
      <w:r>
        <w:t>11. Apellyasiya Prosesi</w:t>
      </w:r>
    </w:p>
    <w:p w:rsidR="00B25AD2" w:rsidRPr="009A5C18" w:rsidRDefault="00B25AD2" w:rsidP="00B25AD2">
      <w:pPr>
        <w:pStyle w:val="Heading2"/>
        <w:jc w:val="both"/>
        <w:rPr>
          <w:b/>
          <w:color w:val="000000" w:themeColor="text1"/>
        </w:rPr>
      </w:pPr>
      <w:r w:rsidRPr="009A5C18">
        <w:rPr>
          <w:b/>
          <w:color w:val="000000" w:themeColor="text1"/>
        </w:rPr>
        <w:t>11.1. Ümumi müddəalar</w:t>
      </w:r>
    </w:p>
    <w:p w:rsidR="00B25AD2" w:rsidRDefault="00B25AD2" w:rsidP="00B25AD2">
      <w:pPr>
        <w:pStyle w:val="NormalWeb"/>
        <w:jc w:val="both"/>
      </w:pPr>
      <w:r>
        <w:t>Apellyasiya – namizədin sertifikatlaşdırma prosesi və ya qəbul edilmiş sertifikatlaşdırma qərarı ilə razılaşmadığı hallarda həmin qərarın yenidən nəzərdən keçirilməsi üçün etdiyi rəsmi müraciətdir.</w:t>
      </w:r>
    </w:p>
    <w:p w:rsidR="00B25AD2" w:rsidRDefault="00B25AD2" w:rsidP="00B25AD2">
      <w:pPr>
        <w:pStyle w:val="NormalWeb"/>
        <w:jc w:val="both"/>
      </w:pPr>
      <w:r>
        <w:t>Apellyasiya yalnız sertifikatlaşdırma qərarlarına münasibətdə qəbul edilir və şikayət prosedurundan ayrı qaydada idarə olunur.</w:t>
      </w:r>
    </w:p>
    <w:p w:rsidR="00B25AD2" w:rsidRPr="009A5C18" w:rsidRDefault="00B25AD2" w:rsidP="00B25AD2">
      <w:pPr>
        <w:pStyle w:val="Heading2"/>
        <w:jc w:val="both"/>
        <w:rPr>
          <w:b/>
          <w:color w:val="000000" w:themeColor="text1"/>
        </w:rPr>
      </w:pPr>
      <w:r w:rsidRPr="009A5C18">
        <w:rPr>
          <w:b/>
          <w:color w:val="000000" w:themeColor="text1"/>
        </w:rPr>
        <w:t>11.2. Apellyasiyanın təqdim edilməsi</w:t>
      </w:r>
    </w:p>
    <w:p w:rsidR="00B25AD2" w:rsidRDefault="00B25AD2" w:rsidP="00B25AD2">
      <w:pPr>
        <w:pStyle w:val="NormalWeb"/>
        <w:jc w:val="both"/>
      </w:pPr>
      <w:r>
        <w:t xml:space="preserve">Namizəd qərarın ona bildirildiyi tarixdən etibarən </w:t>
      </w:r>
      <w:r>
        <w:rPr>
          <w:rStyle w:val="Strong"/>
          <w:rFonts w:eastAsiaTheme="majorEastAsia"/>
        </w:rPr>
        <w:t>30 (otuz) təqvim günü</w:t>
      </w:r>
      <w:r>
        <w:t xml:space="preserve"> ərzində yazılı şəkildə apellyasiya təqdim edə bilər.</w:t>
      </w:r>
    </w:p>
    <w:p w:rsidR="00B25AD2" w:rsidRDefault="00B25AD2" w:rsidP="00B25AD2">
      <w:pPr>
        <w:pStyle w:val="NormalWeb"/>
        <w:jc w:val="both"/>
      </w:pPr>
      <w:r>
        <w:t>Apellyasiya ərizəsində aşağıdakılar göstərilməlidir:</w:t>
      </w:r>
    </w:p>
    <w:p w:rsidR="00B25AD2" w:rsidRDefault="00B25AD2" w:rsidP="00B25AD2">
      <w:pPr>
        <w:pStyle w:val="NormalWeb"/>
        <w:numPr>
          <w:ilvl w:val="0"/>
          <w:numId w:val="15"/>
        </w:numPr>
        <w:jc w:val="both"/>
      </w:pPr>
      <w:r>
        <w:t>namizədin adı, soyadı;</w:t>
      </w:r>
    </w:p>
    <w:p w:rsidR="00B25AD2" w:rsidRDefault="00B25AD2" w:rsidP="00B25AD2">
      <w:pPr>
        <w:pStyle w:val="NormalWeb"/>
        <w:numPr>
          <w:ilvl w:val="0"/>
          <w:numId w:val="15"/>
        </w:numPr>
        <w:jc w:val="both"/>
      </w:pPr>
      <w:r>
        <w:t>əlaqə məlumatları;</w:t>
      </w:r>
    </w:p>
    <w:p w:rsidR="00B25AD2" w:rsidRDefault="00B25AD2" w:rsidP="00B25AD2">
      <w:pPr>
        <w:pStyle w:val="NormalWeb"/>
        <w:numPr>
          <w:ilvl w:val="0"/>
          <w:numId w:val="15"/>
        </w:numPr>
        <w:jc w:val="both"/>
      </w:pPr>
      <w:r>
        <w:t>sertifikatlaşdırma səviyyəsi;</w:t>
      </w:r>
    </w:p>
    <w:p w:rsidR="00B25AD2" w:rsidRDefault="00B25AD2" w:rsidP="00B25AD2">
      <w:pPr>
        <w:pStyle w:val="NormalWeb"/>
        <w:numPr>
          <w:ilvl w:val="0"/>
          <w:numId w:val="15"/>
        </w:numPr>
        <w:jc w:val="both"/>
      </w:pPr>
      <w:r>
        <w:t>mübahisələndirilən qərar;</w:t>
      </w:r>
    </w:p>
    <w:p w:rsidR="00B25AD2" w:rsidRDefault="00B25AD2" w:rsidP="00B25AD2">
      <w:pPr>
        <w:pStyle w:val="NormalWeb"/>
        <w:numPr>
          <w:ilvl w:val="0"/>
          <w:numId w:val="15"/>
        </w:numPr>
        <w:jc w:val="both"/>
      </w:pPr>
      <w:r>
        <w:t>əsaslandırma;</w:t>
      </w:r>
    </w:p>
    <w:p w:rsidR="00B25AD2" w:rsidRDefault="00B25AD2" w:rsidP="00B25AD2">
      <w:pPr>
        <w:pStyle w:val="NormalWeb"/>
        <w:numPr>
          <w:ilvl w:val="0"/>
          <w:numId w:val="15"/>
        </w:numPr>
        <w:jc w:val="both"/>
      </w:pPr>
      <w:r>
        <w:t>əlavə sübutlar (mövcud olduqda).</w:t>
      </w:r>
    </w:p>
    <w:p w:rsidR="00B25AD2" w:rsidRPr="009A5C18" w:rsidRDefault="00B25AD2" w:rsidP="00B25AD2">
      <w:pPr>
        <w:pStyle w:val="Heading2"/>
        <w:jc w:val="both"/>
        <w:rPr>
          <w:b/>
          <w:color w:val="000000" w:themeColor="text1"/>
        </w:rPr>
      </w:pPr>
      <w:r w:rsidRPr="009A5C18">
        <w:rPr>
          <w:b/>
          <w:color w:val="000000" w:themeColor="text1"/>
        </w:rPr>
        <w:t>11.3. Apellyasiyanın araşdırılması</w:t>
      </w:r>
    </w:p>
    <w:p w:rsidR="00B25AD2" w:rsidRDefault="00B25AD2" w:rsidP="00B25AD2">
      <w:pPr>
        <w:pStyle w:val="NormalWeb"/>
        <w:jc w:val="both"/>
      </w:pPr>
      <w:r>
        <w:t>Apellyasiya, ilkin qiymətləndirmədə iştirak etməmiş və qərarın qəbulunda rol almamış şəxslərdən ibarət komissiya tərəfindən araşdırılır.</w:t>
      </w:r>
    </w:p>
    <w:p w:rsidR="00B25AD2" w:rsidRDefault="00B25AD2" w:rsidP="00B25AD2">
      <w:pPr>
        <w:pStyle w:val="NormalWeb"/>
        <w:jc w:val="both"/>
      </w:pPr>
      <w:r>
        <w:t>Komissiya aşağıdakı məlumatları nəzərdən keçirə bilər:</w:t>
      </w:r>
    </w:p>
    <w:p w:rsidR="00B25AD2" w:rsidRDefault="00B25AD2" w:rsidP="00B25AD2">
      <w:pPr>
        <w:pStyle w:val="NormalWeb"/>
        <w:numPr>
          <w:ilvl w:val="0"/>
          <w:numId w:val="16"/>
        </w:numPr>
        <w:jc w:val="both"/>
      </w:pPr>
      <w:r>
        <w:t>namizədin dosyesi;</w:t>
      </w:r>
    </w:p>
    <w:p w:rsidR="00B25AD2" w:rsidRDefault="00B25AD2" w:rsidP="00B25AD2">
      <w:pPr>
        <w:pStyle w:val="NormalWeb"/>
        <w:numPr>
          <w:ilvl w:val="0"/>
          <w:numId w:val="16"/>
        </w:numPr>
        <w:jc w:val="both"/>
      </w:pPr>
      <w:r>
        <w:t>assessor hesabatları;</w:t>
      </w:r>
    </w:p>
    <w:p w:rsidR="00B25AD2" w:rsidRDefault="00B25AD2" w:rsidP="00B25AD2">
      <w:pPr>
        <w:pStyle w:val="NormalWeb"/>
        <w:numPr>
          <w:ilvl w:val="0"/>
          <w:numId w:val="16"/>
        </w:numPr>
        <w:jc w:val="both"/>
      </w:pPr>
      <w:r>
        <w:t>qiymətləndirmə sənədləri;</w:t>
      </w:r>
    </w:p>
    <w:p w:rsidR="00B25AD2" w:rsidRDefault="00B25AD2" w:rsidP="00B25AD2">
      <w:pPr>
        <w:pStyle w:val="NormalWeb"/>
        <w:numPr>
          <w:ilvl w:val="0"/>
          <w:numId w:val="16"/>
        </w:numPr>
        <w:jc w:val="both"/>
      </w:pPr>
      <w:r>
        <w:t>imtahan nəticələri;</w:t>
      </w:r>
    </w:p>
    <w:p w:rsidR="00B25AD2" w:rsidRDefault="00B25AD2" w:rsidP="00B25AD2">
      <w:pPr>
        <w:pStyle w:val="NormalWeb"/>
        <w:numPr>
          <w:ilvl w:val="0"/>
          <w:numId w:val="16"/>
        </w:numPr>
        <w:jc w:val="both"/>
      </w:pPr>
      <w:r>
        <w:t>digər müvafiq sənədlər.</w:t>
      </w:r>
    </w:p>
    <w:p w:rsidR="00B25AD2" w:rsidRDefault="00B25AD2" w:rsidP="00B25AD2">
      <w:pPr>
        <w:pStyle w:val="NormalWeb"/>
        <w:jc w:val="both"/>
      </w:pPr>
      <w:r>
        <w:t>Komissiya zərurət yarandıqda əlavə məlumat və ya izahat tələb edə bilər.</w:t>
      </w:r>
    </w:p>
    <w:p w:rsidR="00B25AD2" w:rsidRPr="009A5C18" w:rsidRDefault="00B25AD2" w:rsidP="00B25AD2">
      <w:pPr>
        <w:pStyle w:val="Heading2"/>
        <w:jc w:val="both"/>
        <w:rPr>
          <w:b/>
          <w:color w:val="000000" w:themeColor="text1"/>
        </w:rPr>
      </w:pPr>
      <w:r w:rsidRPr="009A5C18">
        <w:rPr>
          <w:b/>
          <w:color w:val="000000" w:themeColor="text1"/>
        </w:rPr>
        <w:t>11.4. Apellyasiya üzrə qərar</w:t>
      </w:r>
    </w:p>
    <w:p w:rsidR="00B25AD2" w:rsidRDefault="00B25AD2" w:rsidP="00B25AD2">
      <w:pPr>
        <w:pStyle w:val="NormalWeb"/>
        <w:jc w:val="both"/>
      </w:pPr>
      <w:r>
        <w:t>Araşdırmanın nəticələrinə əsasən aşağıdakı qərarlardan biri qəbul edilir:</w:t>
      </w:r>
    </w:p>
    <w:p w:rsidR="00B25AD2" w:rsidRDefault="00B25AD2" w:rsidP="00B25AD2">
      <w:pPr>
        <w:pStyle w:val="NormalWeb"/>
        <w:numPr>
          <w:ilvl w:val="0"/>
          <w:numId w:val="17"/>
        </w:numPr>
        <w:jc w:val="both"/>
      </w:pPr>
      <w:r>
        <w:t>ilkin qərarın qüvvədə saxlanılması;</w:t>
      </w:r>
    </w:p>
    <w:p w:rsidR="00B25AD2" w:rsidRDefault="00B25AD2" w:rsidP="00B25AD2">
      <w:pPr>
        <w:pStyle w:val="NormalWeb"/>
        <w:numPr>
          <w:ilvl w:val="0"/>
          <w:numId w:val="17"/>
        </w:numPr>
        <w:jc w:val="both"/>
      </w:pPr>
      <w:r>
        <w:t>qiymətləndirmənin yenidən aparılması;</w:t>
      </w:r>
    </w:p>
    <w:p w:rsidR="00B25AD2" w:rsidRDefault="00B25AD2" w:rsidP="00B25AD2">
      <w:pPr>
        <w:pStyle w:val="NormalWeb"/>
        <w:numPr>
          <w:ilvl w:val="0"/>
          <w:numId w:val="17"/>
        </w:numPr>
        <w:jc w:val="both"/>
      </w:pPr>
      <w:r>
        <w:t>yeni assessorun təyin edilməsi;</w:t>
      </w:r>
    </w:p>
    <w:p w:rsidR="00B25AD2" w:rsidRDefault="00B25AD2" w:rsidP="00B25AD2">
      <w:pPr>
        <w:pStyle w:val="NormalWeb"/>
        <w:numPr>
          <w:ilvl w:val="0"/>
          <w:numId w:val="17"/>
        </w:numPr>
        <w:jc w:val="both"/>
      </w:pPr>
      <w:r>
        <w:t>imtahanın və ya qiymətləndirmənin təkrar keçirilməsi;</w:t>
      </w:r>
    </w:p>
    <w:p w:rsidR="00B25AD2" w:rsidRDefault="00B25AD2" w:rsidP="00B25AD2">
      <w:pPr>
        <w:pStyle w:val="NormalWeb"/>
        <w:numPr>
          <w:ilvl w:val="0"/>
          <w:numId w:val="17"/>
        </w:numPr>
        <w:jc w:val="both"/>
      </w:pPr>
      <w:r>
        <w:t>digər əsaslandırılmış qərar.</w:t>
      </w:r>
    </w:p>
    <w:p w:rsidR="00B25AD2" w:rsidRDefault="00B25AD2" w:rsidP="00B25AD2">
      <w:pPr>
        <w:pStyle w:val="NormalWeb"/>
        <w:jc w:val="both"/>
      </w:pPr>
      <w:r>
        <w:t>Qərar yazılı formada namizədə təqdim edilir və Sertifikatlaşdırma Orqanının qərar reyestrində qeydiyyata alınır.</w:t>
      </w:r>
    </w:p>
    <w:p w:rsidR="00B25AD2" w:rsidRDefault="00B25AD2" w:rsidP="00B25AD2">
      <w:pPr>
        <w:pStyle w:val="Heading1"/>
        <w:jc w:val="both"/>
      </w:pPr>
      <w:r>
        <w:t>12. Düzəldici və Qabaqlayıcı Tədbirlər (CAPA)</w:t>
      </w:r>
    </w:p>
    <w:p w:rsidR="00B25AD2" w:rsidRDefault="00B25AD2" w:rsidP="00B25AD2">
      <w:pPr>
        <w:pStyle w:val="NormalWeb"/>
        <w:jc w:val="both"/>
      </w:pPr>
      <w:r>
        <w:t>Şikayət və ya apellyasiya nəticəsində sistem xarakterli problem müəyyən edildikdə düzəldici və ya qabaqlayıcı tədbirlər həyata keçirilir.</w:t>
      </w:r>
    </w:p>
    <w:p w:rsidR="00B25AD2" w:rsidRDefault="00B25AD2" w:rsidP="00B25AD2">
      <w:pPr>
        <w:pStyle w:val="NormalWeb"/>
        <w:jc w:val="both"/>
      </w:pPr>
      <w:r>
        <w:t>Düzəldici tədbirlər aşağıdakı mərhələləri əhatə edir:</w:t>
      </w:r>
    </w:p>
    <w:p w:rsidR="00B25AD2" w:rsidRDefault="00B25AD2" w:rsidP="00B25AD2">
      <w:pPr>
        <w:pStyle w:val="NormalWeb"/>
        <w:numPr>
          <w:ilvl w:val="0"/>
          <w:numId w:val="18"/>
        </w:numPr>
        <w:jc w:val="both"/>
      </w:pPr>
      <w:r>
        <w:t>problemin səbəbinin müəyyən edilməsi;</w:t>
      </w:r>
    </w:p>
    <w:p w:rsidR="00B25AD2" w:rsidRDefault="00B25AD2" w:rsidP="00B25AD2">
      <w:pPr>
        <w:pStyle w:val="NormalWeb"/>
        <w:numPr>
          <w:ilvl w:val="0"/>
          <w:numId w:val="18"/>
        </w:numPr>
        <w:jc w:val="both"/>
      </w:pPr>
      <w:r>
        <w:t>risklərin qiymətləndirilməsi;</w:t>
      </w:r>
    </w:p>
    <w:p w:rsidR="00B25AD2" w:rsidRDefault="00B25AD2" w:rsidP="00B25AD2">
      <w:pPr>
        <w:pStyle w:val="NormalWeb"/>
        <w:numPr>
          <w:ilvl w:val="0"/>
          <w:numId w:val="18"/>
        </w:numPr>
        <w:jc w:val="both"/>
      </w:pPr>
      <w:r>
        <w:t>tədbirlər planının hazırlanması;</w:t>
      </w:r>
    </w:p>
    <w:p w:rsidR="00B25AD2" w:rsidRDefault="00B25AD2" w:rsidP="00B25AD2">
      <w:pPr>
        <w:pStyle w:val="NormalWeb"/>
        <w:numPr>
          <w:ilvl w:val="0"/>
          <w:numId w:val="18"/>
        </w:numPr>
        <w:jc w:val="both"/>
      </w:pPr>
      <w:r>
        <w:t>məsul şəxsin təyin olunması;</w:t>
      </w:r>
    </w:p>
    <w:p w:rsidR="00B25AD2" w:rsidRDefault="00B25AD2" w:rsidP="00B25AD2">
      <w:pPr>
        <w:pStyle w:val="NormalWeb"/>
        <w:numPr>
          <w:ilvl w:val="0"/>
          <w:numId w:val="18"/>
        </w:numPr>
        <w:jc w:val="both"/>
      </w:pPr>
      <w:r>
        <w:t>icra müddətinin müəyyən edilməsi;</w:t>
      </w:r>
    </w:p>
    <w:p w:rsidR="00B25AD2" w:rsidRDefault="00B25AD2" w:rsidP="00B25AD2">
      <w:pPr>
        <w:pStyle w:val="NormalWeb"/>
        <w:numPr>
          <w:ilvl w:val="0"/>
          <w:numId w:val="18"/>
        </w:numPr>
        <w:jc w:val="both"/>
      </w:pPr>
      <w:r>
        <w:t>tədbirlərin effektivliyinin yoxlanılması.</w:t>
      </w:r>
    </w:p>
    <w:p w:rsidR="00B25AD2" w:rsidRDefault="00B25AD2" w:rsidP="00B25AD2">
      <w:pPr>
        <w:pStyle w:val="NormalWeb"/>
        <w:jc w:val="both"/>
      </w:pPr>
      <w:r>
        <w:t>CAPA tədbirləri ayrıca "Düzəldici və Qabaqlayıcı Tədbirlər Forması"nda sənədləşdirilir.</w:t>
      </w:r>
    </w:p>
    <w:p w:rsidR="00B25AD2" w:rsidRDefault="00B25AD2" w:rsidP="00B25AD2">
      <w:pPr>
        <w:pStyle w:val="Heading1"/>
        <w:jc w:val="both"/>
      </w:pPr>
      <w:r>
        <w:t>13. Məxfilik və Qeydlərin Saxlanılması</w:t>
      </w:r>
    </w:p>
    <w:p w:rsidR="00B25AD2" w:rsidRDefault="00B25AD2" w:rsidP="00B25AD2">
      <w:pPr>
        <w:pStyle w:val="NormalWeb"/>
        <w:jc w:val="both"/>
      </w:pPr>
      <w:r>
        <w:t>Şikayət və apellyasiya ilə bağlı bütün məlumatlar məxfi hesab edilir.</w:t>
      </w:r>
    </w:p>
    <w:p w:rsidR="00B25AD2" w:rsidRDefault="00B25AD2" w:rsidP="00B25AD2">
      <w:pPr>
        <w:pStyle w:val="NormalWeb"/>
        <w:jc w:val="both"/>
      </w:pPr>
      <w:r>
        <w:t>Məlumatlardan yalnız araşdırmanın aparılması və sertifikatlaşdırma sisteminin təkmilləşdirilməsi məqsədilə istifadə olunur.</w:t>
      </w:r>
    </w:p>
    <w:p w:rsidR="00B25AD2" w:rsidRDefault="00B25AD2" w:rsidP="00B25AD2">
      <w:pPr>
        <w:pStyle w:val="NormalWeb"/>
        <w:jc w:val="both"/>
      </w:pPr>
      <w:r>
        <w:t>Qeydlər yalnız səlahiyyətli şəxslər üçün əlçatan olur.</w:t>
      </w:r>
    </w:p>
    <w:p w:rsidR="00B25AD2" w:rsidRDefault="00B25AD2" w:rsidP="00B25AD2">
      <w:pPr>
        <w:pStyle w:val="NormalWeb"/>
        <w:jc w:val="both"/>
      </w:pPr>
      <w:r>
        <w:t>Aşağıdakı sənədlər saxlanılır:</w:t>
      </w:r>
    </w:p>
    <w:p w:rsidR="00B25AD2" w:rsidRDefault="00B25AD2" w:rsidP="00B25AD2">
      <w:pPr>
        <w:pStyle w:val="NormalWeb"/>
        <w:numPr>
          <w:ilvl w:val="0"/>
          <w:numId w:val="19"/>
        </w:numPr>
        <w:jc w:val="both"/>
      </w:pPr>
      <w:r>
        <w:t>şikayət formaları;</w:t>
      </w:r>
    </w:p>
    <w:p w:rsidR="00B25AD2" w:rsidRDefault="00B25AD2" w:rsidP="00B25AD2">
      <w:pPr>
        <w:pStyle w:val="NormalWeb"/>
        <w:numPr>
          <w:ilvl w:val="0"/>
          <w:numId w:val="19"/>
        </w:numPr>
        <w:jc w:val="both"/>
      </w:pPr>
      <w:r>
        <w:t>apellyasiya ərizələri;</w:t>
      </w:r>
    </w:p>
    <w:p w:rsidR="00B25AD2" w:rsidRDefault="00B25AD2" w:rsidP="00B25AD2">
      <w:pPr>
        <w:pStyle w:val="NormalWeb"/>
        <w:numPr>
          <w:ilvl w:val="0"/>
          <w:numId w:val="19"/>
        </w:numPr>
        <w:jc w:val="both"/>
      </w:pPr>
      <w:r>
        <w:t>qeydiyyat jurnalları;</w:t>
      </w:r>
    </w:p>
    <w:p w:rsidR="00B25AD2" w:rsidRDefault="00B25AD2" w:rsidP="00B25AD2">
      <w:pPr>
        <w:pStyle w:val="NormalWeb"/>
        <w:numPr>
          <w:ilvl w:val="0"/>
          <w:numId w:val="19"/>
        </w:numPr>
        <w:jc w:val="both"/>
      </w:pPr>
      <w:r>
        <w:t>araşdırma hesabatları;</w:t>
      </w:r>
    </w:p>
    <w:p w:rsidR="00B25AD2" w:rsidRDefault="00B25AD2" w:rsidP="00B25AD2">
      <w:pPr>
        <w:pStyle w:val="NormalWeb"/>
        <w:numPr>
          <w:ilvl w:val="0"/>
          <w:numId w:val="19"/>
        </w:numPr>
        <w:jc w:val="both"/>
      </w:pPr>
      <w:r>
        <w:t>qərarlar;</w:t>
      </w:r>
    </w:p>
    <w:p w:rsidR="00B25AD2" w:rsidRDefault="00B25AD2" w:rsidP="00B25AD2">
      <w:pPr>
        <w:pStyle w:val="NormalWeb"/>
        <w:numPr>
          <w:ilvl w:val="0"/>
          <w:numId w:val="19"/>
        </w:numPr>
        <w:jc w:val="both"/>
      </w:pPr>
      <w:r>
        <w:t>CAPA sənədləri;</w:t>
      </w:r>
    </w:p>
    <w:p w:rsidR="00B25AD2" w:rsidRDefault="00B25AD2" w:rsidP="00B25AD2">
      <w:pPr>
        <w:pStyle w:val="NormalWeb"/>
        <w:numPr>
          <w:ilvl w:val="0"/>
          <w:numId w:val="19"/>
        </w:numPr>
        <w:jc w:val="both"/>
      </w:pPr>
      <w:r>
        <w:t>yazışmalar;</w:t>
      </w:r>
    </w:p>
    <w:p w:rsidR="00B25AD2" w:rsidRDefault="00B25AD2" w:rsidP="00B25AD2">
      <w:pPr>
        <w:pStyle w:val="NormalWeb"/>
        <w:numPr>
          <w:ilvl w:val="0"/>
          <w:numId w:val="19"/>
        </w:numPr>
        <w:jc w:val="both"/>
      </w:pPr>
      <w:r>
        <w:t>komissiya protokolları.</w:t>
      </w:r>
    </w:p>
    <w:p w:rsidR="00B25AD2" w:rsidRDefault="00B25AD2" w:rsidP="00B25AD2">
      <w:pPr>
        <w:pStyle w:val="NormalWeb"/>
        <w:jc w:val="both"/>
      </w:pPr>
      <w:r>
        <w:t>Bu sənədlər AzPMA-nın sənədlərin idarə olunması proseduruna uyğun olaraq müəyyən edilmiş müddət ərzində saxlanılır.</w:t>
      </w:r>
    </w:p>
    <w:p w:rsidR="00B25AD2" w:rsidRDefault="00B25AD2" w:rsidP="00B25AD2">
      <w:pPr>
        <w:pStyle w:val="Heading1"/>
        <w:jc w:val="both"/>
      </w:pPr>
      <w:r>
        <w:t>14. Monitorinq və Təhlil</w:t>
      </w:r>
    </w:p>
    <w:p w:rsidR="00B25AD2" w:rsidRDefault="00B25AD2" w:rsidP="00B25AD2">
      <w:pPr>
        <w:pStyle w:val="NormalWeb"/>
        <w:jc w:val="both"/>
      </w:pPr>
      <w:r>
        <w:t>Keyfiyyət üzrə məsul şəxs ildə azı bir dəfə:</w:t>
      </w:r>
    </w:p>
    <w:p w:rsidR="00B25AD2" w:rsidRDefault="00B25AD2" w:rsidP="00B25AD2">
      <w:pPr>
        <w:pStyle w:val="NormalWeb"/>
        <w:numPr>
          <w:ilvl w:val="0"/>
          <w:numId w:val="20"/>
        </w:numPr>
        <w:jc w:val="both"/>
      </w:pPr>
      <w:r>
        <w:t>daxil olmuş şikayət və apellyasiyaların sayını;</w:t>
      </w:r>
    </w:p>
    <w:p w:rsidR="00B25AD2" w:rsidRDefault="00B25AD2" w:rsidP="00B25AD2">
      <w:pPr>
        <w:pStyle w:val="NormalWeb"/>
        <w:numPr>
          <w:ilvl w:val="0"/>
          <w:numId w:val="20"/>
        </w:numPr>
        <w:jc w:val="both"/>
      </w:pPr>
      <w:r>
        <w:t>səbəblərini;</w:t>
      </w:r>
    </w:p>
    <w:p w:rsidR="00B25AD2" w:rsidRDefault="00B25AD2" w:rsidP="00B25AD2">
      <w:pPr>
        <w:pStyle w:val="NormalWeb"/>
        <w:numPr>
          <w:ilvl w:val="0"/>
          <w:numId w:val="20"/>
        </w:numPr>
        <w:jc w:val="both"/>
      </w:pPr>
      <w:r>
        <w:t>təkrarlanma hallarını;</w:t>
      </w:r>
    </w:p>
    <w:p w:rsidR="00B25AD2" w:rsidRDefault="00B25AD2" w:rsidP="00B25AD2">
      <w:pPr>
        <w:pStyle w:val="NormalWeb"/>
        <w:numPr>
          <w:ilvl w:val="0"/>
          <w:numId w:val="20"/>
        </w:numPr>
        <w:jc w:val="both"/>
      </w:pPr>
      <w:r>
        <w:t>görülmüş düzəldici tədbirləri;</w:t>
      </w:r>
    </w:p>
    <w:p w:rsidR="00B25AD2" w:rsidRDefault="00B25AD2" w:rsidP="00B25AD2">
      <w:pPr>
        <w:pStyle w:val="NormalWeb"/>
        <w:numPr>
          <w:ilvl w:val="0"/>
          <w:numId w:val="20"/>
        </w:numPr>
        <w:jc w:val="both"/>
      </w:pPr>
      <w:r>
        <w:t>prosesin effektivliyini</w:t>
      </w:r>
    </w:p>
    <w:p w:rsidR="00B25AD2" w:rsidRDefault="00B25AD2" w:rsidP="00B25AD2">
      <w:pPr>
        <w:pStyle w:val="NormalWeb"/>
        <w:jc w:val="both"/>
      </w:pPr>
      <w:r>
        <w:t>təhlil edir və nəticələri Rəhbərliyin Təhlili iclasında təqdim edir.</w:t>
      </w:r>
    </w:p>
    <w:p w:rsidR="00B25AD2" w:rsidRDefault="00B25AD2" w:rsidP="00B25AD2">
      <w:pPr>
        <w:pStyle w:val="NormalWeb"/>
        <w:jc w:val="both"/>
      </w:pPr>
      <w:r>
        <w:t>Təhlilin nəticələrinə əsasən prosedurların təkmilləşdirilməsi üzrə qərarlar qəbul edilə bilər.</w:t>
      </w:r>
    </w:p>
    <w:p w:rsidR="00B25AD2" w:rsidRDefault="00B25AD2" w:rsidP="00B25AD2">
      <w:pPr>
        <w:pStyle w:val="Heading1"/>
        <w:jc w:val="both"/>
      </w:pPr>
      <w:r>
        <w:t>15. Əlaqəli Sənədlər</w:t>
      </w:r>
    </w:p>
    <w:p w:rsidR="00B25AD2" w:rsidRDefault="00B25AD2" w:rsidP="00B25AD2">
      <w:pPr>
        <w:pStyle w:val="NormalWeb"/>
        <w:jc w:val="both"/>
      </w:pPr>
      <w:r>
        <w:t>Bu prosedurun tətbiqi zamanı aşağıdakı sənədlərdən istifadə edilir:</w:t>
      </w:r>
    </w:p>
    <w:p w:rsidR="00B25AD2" w:rsidRDefault="00B25AD2" w:rsidP="00B25AD2">
      <w:pPr>
        <w:pStyle w:val="NormalWeb"/>
        <w:numPr>
          <w:ilvl w:val="0"/>
          <w:numId w:val="21"/>
        </w:numPr>
        <w:jc w:val="both"/>
      </w:pPr>
      <w:r>
        <w:t>Şikayətin Qeydiyyat Forması</w:t>
      </w:r>
    </w:p>
    <w:p w:rsidR="00B25AD2" w:rsidRDefault="00B25AD2" w:rsidP="00B25AD2">
      <w:pPr>
        <w:pStyle w:val="NormalWeb"/>
        <w:numPr>
          <w:ilvl w:val="0"/>
          <w:numId w:val="21"/>
        </w:numPr>
        <w:jc w:val="both"/>
      </w:pPr>
      <w:r>
        <w:t>Apellyasiya Ərizəsi</w:t>
      </w:r>
    </w:p>
    <w:p w:rsidR="00B25AD2" w:rsidRDefault="00B25AD2" w:rsidP="00B25AD2">
      <w:pPr>
        <w:pStyle w:val="NormalWeb"/>
        <w:numPr>
          <w:ilvl w:val="0"/>
          <w:numId w:val="21"/>
        </w:numPr>
        <w:jc w:val="both"/>
      </w:pPr>
      <w:r>
        <w:t>Şikayətlərin Qeydiyyat Jurnalı</w:t>
      </w:r>
    </w:p>
    <w:p w:rsidR="00B25AD2" w:rsidRDefault="00B25AD2" w:rsidP="00B25AD2">
      <w:pPr>
        <w:pStyle w:val="NormalWeb"/>
        <w:numPr>
          <w:ilvl w:val="0"/>
          <w:numId w:val="21"/>
        </w:numPr>
        <w:jc w:val="both"/>
      </w:pPr>
      <w:r>
        <w:t>Şikayətin Araşdırılması Hesabatı</w:t>
      </w:r>
    </w:p>
    <w:p w:rsidR="00B25AD2" w:rsidRDefault="00B25AD2" w:rsidP="00B25AD2">
      <w:pPr>
        <w:pStyle w:val="NormalWeb"/>
        <w:numPr>
          <w:ilvl w:val="0"/>
          <w:numId w:val="21"/>
        </w:numPr>
        <w:jc w:val="both"/>
      </w:pPr>
      <w:r>
        <w:t>Düzəldici və Qabaqlayıcı Tədbirlər Forması (CAPA)</w:t>
      </w:r>
    </w:p>
    <w:p w:rsidR="00B25AD2" w:rsidRDefault="00B25AD2" w:rsidP="00B25AD2">
      <w:pPr>
        <w:pStyle w:val="NormalWeb"/>
        <w:numPr>
          <w:ilvl w:val="0"/>
          <w:numId w:val="21"/>
        </w:numPr>
        <w:jc w:val="both"/>
      </w:pPr>
      <w:r>
        <w:t>Şikayətin Bağlanması Aktı</w:t>
      </w:r>
    </w:p>
    <w:p w:rsidR="00B25AD2" w:rsidRDefault="00B25AD2" w:rsidP="00B25AD2">
      <w:pPr>
        <w:pStyle w:val="NormalWeb"/>
        <w:numPr>
          <w:ilvl w:val="0"/>
          <w:numId w:val="21"/>
        </w:numPr>
        <w:jc w:val="both"/>
      </w:pPr>
      <w:r>
        <w:t>Qərəzsizlik Siyasəti</w:t>
      </w:r>
    </w:p>
    <w:p w:rsidR="00B25AD2" w:rsidRDefault="00B25AD2" w:rsidP="00B25AD2">
      <w:pPr>
        <w:pStyle w:val="NormalWeb"/>
        <w:numPr>
          <w:ilvl w:val="0"/>
          <w:numId w:val="21"/>
        </w:numPr>
        <w:jc w:val="both"/>
      </w:pPr>
      <w:r>
        <w:t>Maraqlar Toqquşmasının Qarşısının Alınması Bəyannaməsi</w:t>
      </w:r>
    </w:p>
    <w:p w:rsidR="00B25AD2" w:rsidRDefault="00B25AD2" w:rsidP="00B25AD2">
      <w:pPr>
        <w:pStyle w:val="NormalWeb"/>
        <w:numPr>
          <w:ilvl w:val="0"/>
          <w:numId w:val="21"/>
        </w:numPr>
        <w:jc w:val="both"/>
      </w:pPr>
      <w:r>
        <w:t>Sertifikatlaşdırma üzrə Etika Kodeksi</w:t>
      </w:r>
    </w:p>
    <w:p w:rsidR="00B25AD2" w:rsidRDefault="00B25AD2" w:rsidP="00B25AD2">
      <w:pPr>
        <w:jc w:val="both"/>
      </w:pPr>
    </w:p>
    <w:p w:rsidR="00855E32" w:rsidRDefault="00B25AD2" w:rsidP="00855E32">
      <w:pPr>
        <w:pStyle w:val="Heading1"/>
        <w:jc w:val="both"/>
      </w:pPr>
      <w:r>
        <w:t>16. Prosesin Axın Sxemi</w:t>
      </w:r>
    </w:p>
    <w:p w:rsidR="00B25AD2" w:rsidRDefault="00B25AD2" w:rsidP="00855E32">
      <w:pPr>
        <w:pStyle w:val="Heading1"/>
        <w:jc w:val="both"/>
        <w:rPr>
          <w:rStyle w:val="HTMLCode"/>
        </w:rPr>
      </w:pPr>
      <w:r w:rsidRPr="00B25AD2">
        <w:rPr>
          <w:rStyle w:val="HTMLCode"/>
        </w:rPr>
        <w:t xml:space="preserve">                       </w:t>
      </w:r>
      <w:r w:rsidR="004655F1">
        <w:rPr>
          <w:rStyle w:val="HTMLCod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480pt">
            <v:imagedata r:id="rId7" o:title="ChatGPT Image Jul 16, 2026, 01_21_07 PM"/>
          </v:shape>
        </w:pict>
      </w:r>
    </w:p>
    <w:p w:rsidR="00B25AD2" w:rsidRPr="00F64A4C" w:rsidRDefault="00F64A4C" w:rsidP="00855E32">
      <w:pPr>
        <w:pStyle w:val="NormalWeb"/>
        <w:jc w:val="both"/>
        <w:rPr>
          <w:i/>
        </w:rPr>
      </w:pPr>
      <w:bookmarkStart w:id="0" w:name="_GoBack"/>
      <w:r w:rsidRPr="00F64A4C">
        <w:rPr>
          <w:b/>
          <w:i/>
        </w:rPr>
        <w:t>Qeyd:</w:t>
      </w:r>
      <w:r>
        <w:rPr>
          <w:i/>
        </w:rPr>
        <w:t xml:space="preserve"> </w:t>
      </w:r>
      <w:bookmarkEnd w:id="0"/>
      <w:r w:rsidR="00B25AD2" w:rsidRPr="00F64A4C">
        <w:rPr>
          <w:i/>
        </w:rPr>
        <w:t>Bu prosedur IPMA Individual Certification Regulations (ICR), IPMA Validation Regulations Handbook (IVRH) və ISO/IEC 17024 standartının qərəzsizlik, şəffaflıq və şikayətlərin idarə edilməsi ilə bağlı tələbləri nəzərə alınmaqla hazırlanmışdır.</w:t>
      </w:r>
    </w:p>
    <w:sectPr w:rsidR="00B25AD2" w:rsidRPr="00F64A4C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012" w:rsidRDefault="00947012" w:rsidP="009A5C18">
      <w:pPr>
        <w:spacing w:after="0" w:line="240" w:lineRule="auto"/>
      </w:pPr>
      <w:r>
        <w:separator/>
      </w:r>
    </w:p>
  </w:endnote>
  <w:endnote w:type="continuationSeparator" w:id="0">
    <w:p w:rsidR="00947012" w:rsidRDefault="00947012" w:rsidP="009A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E32" w:rsidRDefault="00855E32" w:rsidP="00855E32">
    <w:pPr>
      <w:pStyle w:val="Footer"/>
      <w:pBdr>
        <w:top w:val="single" w:sz="4" w:space="1" w:color="00000A"/>
      </w:pBdr>
      <w:rPr>
        <w:lang w:val="uk-UA"/>
      </w:rPr>
    </w:pPr>
    <w:r>
      <w:rPr>
        <w:sz w:val="18"/>
        <w:szCs w:val="18"/>
        <w:lang w:val="az-Latn-AZ"/>
      </w:rPr>
      <w:t>Sertifikatlaşdırma sistemi</w:t>
    </w:r>
    <w:r>
      <w:rPr>
        <w:sz w:val="18"/>
        <w:szCs w:val="18"/>
        <w:lang w:val="uk-UA"/>
      </w:rPr>
      <w:t xml:space="preserve"> </w:t>
    </w:r>
    <w:r>
      <w:rPr>
        <w:sz w:val="18"/>
        <w:szCs w:val="18"/>
        <w:lang w:val="az-Latn-AZ"/>
      </w:rPr>
      <w:t>AzPMA</w:t>
    </w:r>
    <w:r>
      <w:rPr>
        <w:sz w:val="18"/>
        <w:szCs w:val="18"/>
        <w:lang w:val="uk-UA"/>
      </w:rPr>
      <w:t>/Sert (IPMA 4-L-C)</w:t>
    </w:r>
  </w:p>
  <w:p w:rsidR="00855E32" w:rsidRPr="0006757D" w:rsidRDefault="00855E32" w:rsidP="00855E32">
    <w:pPr>
      <w:pStyle w:val="Footer"/>
      <w:tabs>
        <w:tab w:val="right" w:pos="9781"/>
      </w:tabs>
      <w:rPr>
        <w:lang w:val="uk-UA"/>
      </w:rPr>
    </w:pPr>
    <w:r>
      <w:rPr>
        <w:sz w:val="18"/>
        <w:lang w:val="az-Latn-AZ"/>
      </w:rPr>
      <w:t>Şikayət və Apellyasiya Proseduru</w:t>
    </w:r>
    <w:r>
      <w:rPr>
        <w:sz w:val="18"/>
        <w:lang w:val="uk-UA"/>
      </w:rPr>
      <w:t xml:space="preserve">      </w:t>
    </w:r>
    <w:r>
      <w:rPr>
        <w:sz w:val="18"/>
        <w:lang w:val="uk-UA"/>
      </w:rPr>
      <w:tab/>
    </w:r>
    <w:r>
      <w:rPr>
        <w:sz w:val="18"/>
        <w:lang w:val="az-Latn-AZ"/>
      </w:rPr>
      <w:t>Versiya 1/</w:t>
    </w:r>
    <w:r>
      <w:rPr>
        <w:sz w:val="18"/>
        <w:lang w:val="uk-UA"/>
      </w:rPr>
      <w:t xml:space="preserve"> 04.202</w:t>
    </w:r>
    <w:r>
      <w:rPr>
        <w:sz w:val="18"/>
        <w:lang w:val="az-Latn-AZ"/>
      </w:rPr>
      <w:t>4</w:t>
    </w:r>
    <w:r>
      <w:rPr>
        <w:sz w:val="18"/>
        <w:lang w:val="uk-UA"/>
      </w:rPr>
      <w:tab/>
      <w:t xml:space="preserve">                    </w:t>
    </w:r>
    <w:r>
      <w:rPr>
        <w:sz w:val="18"/>
        <w:lang w:val="az-Latn-AZ"/>
      </w:rPr>
      <w:t>Səh</w:t>
    </w:r>
    <w:r>
      <w:rPr>
        <w:sz w:val="18"/>
        <w:lang w:val="uk-UA"/>
      </w:rPr>
      <w:t xml:space="preserve"> </w:t>
    </w:r>
    <w:r>
      <w:rPr>
        <w:sz w:val="18"/>
        <w:lang w:val="uk-UA"/>
      </w:rPr>
      <w:fldChar w:fldCharType="begin"/>
    </w:r>
    <w:r>
      <w:instrText>PAGE</w:instrText>
    </w:r>
    <w:r>
      <w:fldChar w:fldCharType="separate"/>
    </w:r>
    <w:r w:rsidR="00947012">
      <w:rPr>
        <w:noProof/>
      </w:rPr>
      <w:t>1</w:t>
    </w:r>
    <w:r>
      <w:fldChar w:fldCharType="end"/>
    </w:r>
    <w:r>
      <w:rPr>
        <w:rStyle w:val="PageNumber"/>
        <w:lang w:val="uk-UA"/>
      </w:rPr>
      <w:t xml:space="preserve"> / </w:t>
    </w:r>
    <w:r>
      <w:rPr>
        <w:rStyle w:val="PageNumber"/>
        <w:lang w:val="uk-UA"/>
      </w:rPr>
      <w:fldChar w:fldCharType="begin"/>
    </w:r>
    <w:r>
      <w:instrText>NUMPAGES</w:instrText>
    </w:r>
    <w:r>
      <w:fldChar w:fldCharType="separate"/>
    </w:r>
    <w:r w:rsidR="00947012">
      <w:rPr>
        <w:noProof/>
      </w:rPr>
      <w:t>1</w:t>
    </w:r>
    <w:r>
      <w:fldChar w:fldCharType="end"/>
    </w:r>
  </w:p>
  <w:p w:rsidR="00855E32" w:rsidRPr="00855E32" w:rsidRDefault="00855E32" w:rsidP="00855E32">
    <w:pPr>
      <w:pStyle w:val="Footer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012" w:rsidRDefault="00947012" w:rsidP="009A5C18">
      <w:pPr>
        <w:spacing w:after="0" w:line="240" w:lineRule="auto"/>
      </w:pPr>
      <w:r>
        <w:separator/>
      </w:r>
    </w:p>
  </w:footnote>
  <w:footnote w:type="continuationSeparator" w:id="0">
    <w:p w:rsidR="00947012" w:rsidRDefault="00947012" w:rsidP="009A5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C18" w:rsidRDefault="009A5C18">
    <w:pPr>
      <w:pStyle w:val="Header"/>
    </w:pPr>
  </w:p>
  <w:tbl>
    <w:tblPr>
      <w:tblW w:w="0" w:type="auto"/>
      <w:tblInd w:w="-34" w:type="dxa"/>
      <w:tblLayout w:type="fixed"/>
      <w:tblLook w:val="0000" w:firstRow="0" w:lastRow="0" w:firstColumn="0" w:lastColumn="0" w:noHBand="0" w:noVBand="0"/>
    </w:tblPr>
    <w:tblGrid>
      <w:gridCol w:w="1418"/>
      <w:gridCol w:w="8363"/>
    </w:tblGrid>
    <w:tr w:rsidR="009A5C18" w:rsidRPr="004655F1" w:rsidTr="0077445A">
      <w:trPr>
        <w:cantSplit/>
      </w:trPr>
      <w:tc>
        <w:tcPr>
          <w:tcW w:w="1418" w:type="dxa"/>
          <w:tcBorders>
            <w:bottom w:val="single" w:sz="6" w:space="0" w:color="000000"/>
          </w:tcBorders>
          <w:shd w:val="clear" w:color="auto" w:fill="auto"/>
        </w:tcPr>
        <w:p w:rsidR="009A5C18" w:rsidRDefault="009A5C18" w:rsidP="009A5C18">
          <w:pPr>
            <w:jc w:val="right"/>
            <w:rPr>
              <w:lang w:val="uk-UA"/>
            </w:rPr>
          </w:pPr>
          <w:r>
            <w:rPr>
              <w:rFonts w:ascii="Times" w:hAnsi="Times" w:cs="Times"/>
              <w:noProof/>
              <w:sz w:val="16"/>
            </w:rPr>
            <w:drawing>
              <wp:inline distT="0" distB="0" distL="0" distR="0">
                <wp:extent cx="760730" cy="522605"/>
                <wp:effectExtent l="0" t="0" r="1270" b="0"/>
                <wp:docPr id="2" name="Picture 2" descr="logo_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 descr="logo_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0730" cy="52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3" w:type="dxa"/>
          <w:tcBorders>
            <w:bottom w:val="single" w:sz="6" w:space="0" w:color="000000"/>
          </w:tcBorders>
          <w:shd w:val="clear" w:color="auto" w:fill="auto"/>
        </w:tcPr>
        <w:p w:rsidR="009A5C18" w:rsidRPr="009A5C18" w:rsidRDefault="009A5C18" w:rsidP="009A5C18">
          <w:pPr>
            <w:jc w:val="right"/>
            <w:rPr>
              <w:lang w:val="uk-UA"/>
            </w:rPr>
          </w:pPr>
          <w:r>
            <w:rPr>
              <w:lang w:val="az-Latn-AZ"/>
            </w:rPr>
            <w:t>Sənəd PRO01</w:t>
          </w:r>
        </w:p>
        <w:p w:rsidR="009A5C18" w:rsidRPr="00621E5E" w:rsidRDefault="009A5C18" w:rsidP="009A5C18">
          <w:pPr>
            <w:rPr>
              <w:lang w:val="az-Latn-AZ"/>
            </w:rPr>
          </w:pPr>
          <w:r>
            <w:rPr>
              <w:b/>
              <w:sz w:val="28"/>
              <w:lang w:val="az-Latn-AZ"/>
            </w:rPr>
            <w:t>Layihələrin İdarə Edilməsi Azərbaycan Assosiasiyası AzPMA</w:t>
          </w:r>
        </w:p>
      </w:tc>
    </w:tr>
  </w:tbl>
  <w:p w:rsidR="009A5C18" w:rsidRPr="009A5C18" w:rsidRDefault="009A5C18" w:rsidP="009A5C18">
    <w:pPr>
      <w:pStyle w:val="Head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16DD8"/>
    <w:multiLevelType w:val="multilevel"/>
    <w:tmpl w:val="9520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E3832"/>
    <w:multiLevelType w:val="multilevel"/>
    <w:tmpl w:val="1530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D2B38"/>
    <w:multiLevelType w:val="multilevel"/>
    <w:tmpl w:val="59A8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652B2A"/>
    <w:multiLevelType w:val="multilevel"/>
    <w:tmpl w:val="25E4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C6171"/>
    <w:multiLevelType w:val="multilevel"/>
    <w:tmpl w:val="D8D63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C6E58"/>
    <w:multiLevelType w:val="multilevel"/>
    <w:tmpl w:val="E228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C16A6F"/>
    <w:multiLevelType w:val="multilevel"/>
    <w:tmpl w:val="E4B6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7F6BF3"/>
    <w:multiLevelType w:val="multilevel"/>
    <w:tmpl w:val="405E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D41166"/>
    <w:multiLevelType w:val="multilevel"/>
    <w:tmpl w:val="4330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B24693"/>
    <w:multiLevelType w:val="multilevel"/>
    <w:tmpl w:val="93B62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B90D36"/>
    <w:multiLevelType w:val="multilevel"/>
    <w:tmpl w:val="16867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573A32"/>
    <w:multiLevelType w:val="multilevel"/>
    <w:tmpl w:val="BF68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01946"/>
    <w:multiLevelType w:val="multilevel"/>
    <w:tmpl w:val="9B908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A60D01"/>
    <w:multiLevelType w:val="multilevel"/>
    <w:tmpl w:val="3E84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A417F4"/>
    <w:multiLevelType w:val="multilevel"/>
    <w:tmpl w:val="4692C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4801BF"/>
    <w:multiLevelType w:val="multilevel"/>
    <w:tmpl w:val="6D06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6C062E"/>
    <w:multiLevelType w:val="multilevel"/>
    <w:tmpl w:val="9A8EE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8317B3"/>
    <w:multiLevelType w:val="multilevel"/>
    <w:tmpl w:val="A3E0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861840"/>
    <w:multiLevelType w:val="multilevel"/>
    <w:tmpl w:val="0A246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3015CC"/>
    <w:multiLevelType w:val="multilevel"/>
    <w:tmpl w:val="F016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0D0AEF"/>
    <w:multiLevelType w:val="multilevel"/>
    <w:tmpl w:val="66FC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15"/>
  </w:num>
  <w:num w:numId="4">
    <w:abstractNumId w:val="8"/>
  </w:num>
  <w:num w:numId="5">
    <w:abstractNumId w:val="4"/>
  </w:num>
  <w:num w:numId="6">
    <w:abstractNumId w:val="20"/>
  </w:num>
  <w:num w:numId="7">
    <w:abstractNumId w:val="6"/>
  </w:num>
  <w:num w:numId="8">
    <w:abstractNumId w:val="3"/>
  </w:num>
  <w:num w:numId="9">
    <w:abstractNumId w:val="13"/>
  </w:num>
  <w:num w:numId="10">
    <w:abstractNumId w:val="17"/>
  </w:num>
  <w:num w:numId="11">
    <w:abstractNumId w:val="18"/>
  </w:num>
  <w:num w:numId="12">
    <w:abstractNumId w:val="12"/>
  </w:num>
  <w:num w:numId="13">
    <w:abstractNumId w:val="7"/>
  </w:num>
  <w:num w:numId="14">
    <w:abstractNumId w:val="5"/>
  </w:num>
  <w:num w:numId="15">
    <w:abstractNumId w:val="11"/>
  </w:num>
  <w:num w:numId="16">
    <w:abstractNumId w:val="14"/>
  </w:num>
  <w:num w:numId="17">
    <w:abstractNumId w:val="2"/>
  </w:num>
  <w:num w:numId="18">
    <w:abstractNumId w:val="0"/>
  </w:num>
  <w:num w:numId="19">
    <w:abstractNumId w:val="19"/>
  </w:num>
  <w:num w:numId="20">
    <w:abstractNumId w:val="1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6FD"/>
    <w:rsid w:val="003146FD"/>
    <w:rsid w:val="00464354"/>
    <w:rsid w:val="004655F1"/>
    <w:rsid w:val="00493405"/>
    <w:rsid w:val="007523AA"/>
    <w:rsid w:val="00855E32"/>
    <w:rsid w:val="00947012"/>
    <w:rsid w:val="009A2229"/>
    <w:rsid w:val="009A5C18"/>
    <w:rsid w:val="00B25AD2"/>
    <w:rsid w:val="00F6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EEA28"/>
  <w15:chartTrackingRefBased/>
  <w15:docId w15:val="{1EA9B87E-44CF-4771-81B5-333F8EEB8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5A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A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25A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AD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25A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25AD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25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A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5A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5AD2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B25AD2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nhideWhenUsed/>
    <w:rsid w:val="009A5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C18"/>
  </w:style>
  <w:style w:type="paragraph" w:styleId="Footer">
    <w:name w:val="footer"/>
    <w:basedOn w:val="Normal"/>
    <w:link w:val="FooterChar"/>
    <w:uiPriority w:val="99"/>
    <w:unhideWhenUsed/>
    <w:rsid w:val="009A5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C18"/>
  </w:style>
  <w:style w:type="paragraph" w:styleId="Title">
    <w:name w:val="Title"/>
    <w:basedOn w:val="Normal"/>
    <w:link w:val="TitleChar"/>
    <w:qFormat/>
    <w:rsid w:val="009A5C18"/>
    <w:pPr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A"/>
      <w:sz w:val="32"/>
      <w:szCs w:val="20"/>
      <w:lang w:val="uk-UA" w:eastAsia="ru-RU"/>
    </w:rPr>
  </w:style>
  <w:style w:type="character" w:customStyle="1" w:styleId="TitleChar">
    <w:name w:val="Title Char"/>
    <w:basedOn w:val="DefaultParagraphFont"/>
    <w:link w:val="Title"/>
    <w:rsid w:val="009A5C18"/>
    <w:rPr>
      <w:rFonts w:ascii="Times New Roman" w:eastAsia="Times New Roman" w:hAnsi="Times New Roman" w:cs="Times New Roman"/>
      <w:b/>
      <w:color w:val="00000A"/>
      <w:sz w:val="32"/>
      <w:szCs w:val="20"/>
      <w:lang w:val="uk-UA" w:eastAsia="ru-RU"/>
    </w:rPr>
  </w:style>
  <w:style w:type="paragraph" w:styleId="TOC1">
    <w:name w:val="toc 1"/>
    <w:basedOn w:val="Normal"/>
    <w:autoRedefine/>
    <w:uiPriority w:val="39"/>
    <w:rsid w:val="009A5C18"/>
    <w:pPr>
      <w:widowControl w:val="0"/>
      <w:tabs>
        <w:tab w:val="right" w:leader="dot" w:pos="9629"/>
      </w:tabs>
      <w:spacing w:before="120" w:after="0" w:line="276" w:lineRule="auto"/>
      <w:jc w:val="both"/>
    </w:pPr>
    <w:rPr>
      <w:rFonts w:ascii="Times New Roman" w:eastAsia="Times New Roman" w:hAnsi="Times New Roman" w:cs="Times New Roman"/>
      <w:b/>
      <w:bCs/>
      <w:iCs/>
      <w:color w:val="00000A"/>
      <w:sz w:val="28"/>
      <w:szCs w:val="24"/>
      <w:lang w:val="uk-UA" w:eastAsia="ru-RU"/>
    </w:rPr>
  </w:style>
  <w:style w:type="character" w:styleId="PageNumber">
    <w:name w:val="page number"/>
    <w:basedOn w:val="DefaultParagraphFont"/>
    <w:qFormat/>
    <w:rsid w:val="00855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1638</Words>
  <Characters>9339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38</vt:i4>
      </vt:variant>
    </vt:vector>
  </HeadingPairs>
  <TitlesOfParts>
    <vt:vector size="39" baseType="lpstr">
      <vt:lpstr/>
      <vt:lpstr/>
      <vt:lpstr/>
      <vt:lpstr>ŞİKAYƏT VƏ APELLYASİYALARIN İDARƏ EDİLMƏSİ PROSEDURU</vt:lpstr>
      <vt:lpstr/>
      <vt:lpstr>Dəyişikliklərin qeydiyyatı</vt:lpstr>
      <vt:lpstr>1. Məqsəd</vt:lpstr>
      <vt:lpstr>2. Tətbiq sahəsi</vt:lpstr>
      <vt:lpstr>3. Normativ istinadlar</vt:lpstr>
      <vt:lpstr>4. Termin və təriflər</vt:lpstr>
      <vt:lpstr>        Şikayət</vt:lpstr>
      <vt:lpstr>        Apellyasiya</vt:lpstr>
      <vt:lpstr>        Maraqlar toqquşması</vt:lpstr>
      <vt:lpstr>        Qərəzsizlik</vt:lpstr>
      <vt:lpstr>5. Əsas prinsiplər</vt:lpstr>
      <vt:lpstr>6. Məsuliyyətlər</vt:lpstr>
      <vt:lpstr>        6.1. Sertifikatlaşdırma Meneceri</vt:lpstr>
      <vt:lpstr>        6.2. Keyfiyyət üzrə məsul şəxs</vt:lpstr>
      <vt:lpstr>        6.3. Araşdırma Komissiyası</vt:lpstr>
      <vt:lpstr>        6.4. Assessorlar</vt:lpstr>
      <vt:lpstr>7. Şikayətlərin qəbulu</vt:lpstr>
      <vt:lpstr>8. Şikayətlərin qeydiyyatı</vt:lpstr>
      <vt:lpstr>9. Araşdırma Prosesi</vt:lpstr>
      <vt:lpstr>        Mərhələ 1</vt:lpstr>
      <vt:lpstr>        Mərhələ 2</vt:lpstr>
      <vt:lpstr>        Mərhələ 3</vt:lpstr>
      <vt:lpstr>        Mərhələ 4</vt:lpstr>
      <vt:lpstr>        Mərhələ 5</vt:lpstr>
      <vt:lpstr>10. Qərarın qəbul edilməsi</vt:lpstr>
      <vt:lpstr>11. Apellyasiya Prosesi</vt:lpstr>
      <vt:lpstr>    11.1. Ümumi müddəalar</vt:lpstr>
      <vt:lpstr>    11.2. Apellyasiyanın təqdim edilməsi</vt:lpstr>
      <vt:lpstr>    11.3. Apellyasiyanın araşdırılması</vt:lpstr>
      <vt:lpstr>    11.4. Apellyasiya üzrə qərar</vt:lpstr>
      <vt:lpstr>12. Düzəldici və Qabaqlayıcı Tədbirlər (CAPA)</vt:lpstr>
      <vt:lpstr>13. Məxfilik və Qeydlərin Saxlanılması</vt:lpstr>
      <vt:lpstr>14. Monitorinq və Təhlil</vt:lpstr>
      <vt:lpstr>15. Əlaqəli Sənədlər</vt:lpstr>
      <vt:lpstr>16. Prosesin Axın Sxemi</vt:lpstr>
    </vt:vector>
  </TitlesOfParts>
  <Company/>
  <LinksUpToDate>false</LinksUpToDate>
  <CharactersWithSpaces>10956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2026-07-16T08:49:00Z</dcterms:created>
  <dcterms:modified xsi:type="dcterms:W3CDTF">2026-09-13T07:56:00Z</dcterms:modified>
</cp:coreProperties>
</file>